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6262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Mills Drake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54"/>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200" w:type="dxa"/>
            <w:vAlign w:val="bottom"/>
            <w:tcBorders>
              <w:right w:val="single" w:sz="8" w:color="9A9A9A"/>
            </w:tcBorders>
            <w:shd w:val="clear" w:color="auto" w:fill="9A9A9A"/>
          </w:tcPr>
          <w:p>
            <w:pPr>
              <w:spacing w:after="0"/>
              <w:rPr>
                <w:sz w:val="2"/>
                <w:szCs w:val="2"/>
                <w:color w:val="auto"/>
              </w:rPr>
            </w:pPr>
          </w:p>
        </w:tc>
        <w:tc>
          <w:tcPr>
            <w:tcW w:w="35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400" w:type="dxa"/>
            <w:vAlign w:val="bottom"/>
          </w:tcPr>
          <w:p>
            <w:pPr>
              <w:spacing w:after="0"/>
              <w:rPr>
                <w:sz w:val="2"/>
                <w:szCs w:val="2"/>
                <w:color w:val="auto"/>
              </w:rPr>
            </w:pPr>
          </w:p>
        </w:tc>
        <w:tc>
          <w:tcPr>
            <w:tcW w:w="336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580" w:type="dxa"/>
            <w:vAlign w:val="bottom"/>
            <w:gridSpan w:val="8"/>
            <w:vMerge w:val="continue"/>
          </w:tcPr>
          <w:p>
            <w:pPr>
              <w:spacing w:after="0"/>
              <w:rPr>
                <w:sz w:val="10"/>
                <w:szCs w:val="10"/>
                <w:color w:val="auto"/>
              </w:rPr>
            </w:pPr>
          </w:p>
        </w:tc>
        <w:tc>
          <w:tcPr>
            <w:tcW w:w="400" w:type="dxa"/>
            <w:vAlign w:val="bottom"/>
          </w:tcPr>
          <w:p>
            <w:pPr>
              <w:spacing w:after="0"/>
              <w:rPr>
                <w:sz w:val="10"/>
                <w:szCs w:val="10"/>
                <w:color w:val="auto"/>
              </w:rPr>
            </w:pPr>
          </w:p>
        </w:tc>
        <w:tc>
          <w:tcPr>
            <w:tcW w:w="33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71270</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3"/>
          </w:tcPr>
          <w:p>
            <w:pPr>
              <w:jc w:val="center"/>
              <w:ind w:left="211"/>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40" w:type="dxa"/>
            <w:vAlign w:val="bottom"/>
            <w:gridSpan w:val="6"/>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6"/>
                <w:szCs w:val="16"/>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3640" w:type="dxa"/>
            <w:vAlign w:val="bottom"/>
            <w:tcBorders>
              <w:bottom w:val="single" w:sz="8" w:color="2C2C2C"/>
            </w:tcBorders>
            <w:gridSpan w:val="9"/>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400"/>
              <w:spacing w:after="0"/>
              <w:rPr>
                <w:sz w:val="20"/>
                <w:szCs w:val="20"/>
                <w:color w:val="auto"/>
              </w:rPr>
            </w:pPr>
            <w:r>
              <w:rPr>
                <w:rFonts w:ascii="Arial" w:cs="Arial" w:eastAsia="Arial" w:hAnsi="Arial"/>
                <w:sz w:val="12"/>
                <w:szCs w:val="12"/>
                <w:b w:val="1"/>
                <w:bCs w:val="1"/>
                <w:color w:val="auto"/>
                <w:w w:val="93"/>
              </w:rPr>
              <w:t>2. Transaction</w:t>
            </w:r>
          </w:p>
        </w:tc>
        <w:tc>
          <w:tcPr>
            <w:tcW w:w="138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w w:val="95"/>
              </w:rPr>
              <w:t>6. Ownership</w:t>
            </w:r>
          </w:p>
        </w:tc>
        <w:tc>
          <w:tcPr>
            <w:tcW w:w="1440" w:type="dxa"/>
            <w:vAlign w:val="bottom"/>
            <w:gridSpan w:val="4"/>
          </w:tcPr>
          <w:p>
            <w:pPr>
              <w:ind w:left="1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9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Form: Direct</w:t>
            </w:r>
          </w:p>
        </w:tc>
        <w:tc>
          <w:tcPr>
            <w:tcW w:w="1440" w:type="dxa"/>
            <w:vAlign w:val="bottom"/>
            <w:gridSpan w:val="4"/>
          </w:tcPr>
          <w:p>
            <w:pPr>
              <w:ind w:left="18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2380" w:type="dxa"/>
            <w:vAlign w:val="bottom"/>
            <w:gridSpan w:val="5"/>
          </w:tcPr>
          <w:p>
            <w:pPr>
              <w:ind w:left="200"/>
              <w:spacing w:after="0" w:line="130"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gridSpan w:val="3"/>
          </w:tcPr>
          <w:p>
            <w:pPr>
              <w:ind w:left="3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7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9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4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0000FF"/>
              </w:rPr>
              <w:t>05/20/2026</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5,061</w:t>
            </w:r>
          </w:p>
        </w:tc>
        <w:tc>
          <w:tcPr>
            <w:tcW w:w="4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Pr>
          <w:p>
            <w:pPr>
              <w:spacing w:after="0"/>
              <w:rPr>
                <w:sz w:val="22"/>
                <w:szCs w:val="22"/>
                <w:color w:val="auto"/>
              </w:rPr>
            </w:pPr>
          </w:p>
        </w:tc>
        <w:tc>
          <w:tcPr>
            <w:tcW w:w="400" w:type="dxa"/>
            <w:vAlign w:val="bottom"/>
          </w:tcPr>
          <w:p>
            <w:pPr>
              <w:jc w:val="right"/>
              <w:ind w:right="178"/>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172,761</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right"/>
              <w:ind w:right="620"/>
              <w:spacing w:after="0"/>
              <w:rPr>
                <w:sz w:val="20"/>
                <w:szCs w:val="20"/>
                <w:color w:val="auto"/>
              </w:rPr>
            </w:pPr>
            <w:r>
              <w:rPr>
                <w:rFonts w:ascii="Times New Roman" w:cs="Times New Roman" w:eastAsia="Times New Roman" w:hAnsi="Times New Roman"/>
                <w:sz w:val="17"/>
                <w:szCs w:val="17"/>
                <w:color w:val="0000FF"/>
              </w:rPr>
              <w:t>05/20/2026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2,068</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47.38</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170,693</w:t>
            </w:r>
          </w:p>
        </w:tc>
        <w:tc>
          <w:tcPr>
            <w:tcW w:w="940" w:type="dxa"/>
            <w:vAlign w:val="bottom"/>
            <w:tcBorders>
              <w:bottom w:val="single" w:sz="8" w:color="2C2C2C"/>
            </w:tcBorders>
          </w:tcPr>
          <w:p>
            <w:pPr>
              <w:jc w:val="center"/>
              <w:ind w:left="196"/>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BY ISSUER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58,391</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6"/>
                <w:szCs w:val="16"/>
                <w:color w:val="0000FF"/>
                <w:w w:val="74"/>
              </w:rPr>
              <w:t>I</w:t>
            </w: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PLAN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3,866</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 IRA</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2"/>
          </w:tcPr>
          <w:p>
            <w:pPr>
              <w:spacing w:after="0"/>
              <w:rPr>
                <w:sz w:val="8"/>
                <w:szCs w:val="8"/>
                <w:color w:val="auto"/>
              </w:rPr>
            </w:pPr>
          </w:p>
        </w:tc>
        <w:tc>
          <w:tcPr>
            <w:tcW w:w="3640" w:type="dxa"/>
            <w:vAlign w:val="bottom"/>
            <w:tcBorders>
              <w:bottom w:val="single" w:sz="8" w:color="2C2C2C"/>
            </w:tcBorders>
            <w:gridSpan w:val="9"/>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1"/>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6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right"/>
              <w:ind w:right="560"/>
              <w:spacing w:after="0" w:line="130" w:lineRule="exact"/>
              <w:rPr>
                <w:sz w:val="20"/>
                <w:szCs w:val="20"/>
                <w:color w:val="auto"/>
              </w:rPr>
            </w:pPr>
            <w:r>
              <w:rPr>
                <w:rFonts w:ascii="Arial" w:cs="Arial" w:eastAsia="Arial" w:hAnsi="Arial"/>
                <w:sz w:val="12"/>
                <w:szCs w:val="12"/>
                <w:b w:val="1"/>
                <w:bCs w:val="1"/>
                <w:color w:val="auto"/>
                <w:w w:val="93"/>
              </w:rPr>
              <w:t>8)</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Disposed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(Instr. 3,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84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5,061</w:t>
            </w:r>
          </w:p>
        </w:tc>
        <w:tc>
          <w:tcPr>
            <w:tcW w:w="760" w:type="dxa"/>
            <w:vAlign w:val="bottom"/>
          </w:tcPr>
          <w:p>
            <w:pPr>
              <w:spacing w:after="0"/>
              <w:rPr>
                <w:sz w:val="15"/>
                <w:szCs w:val="15"/>
                <w:color w:val="auto"/>
              </w:rPr>
            </w:pP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5,061</w:t>
            </w:r>
            <w:r>
              <w:rPr>
                <w:rFonts w:ascii="Times New Roman" w:cs="Times New Roman" w:eastAsia="Times New Roman" w:hAnsi="Times New Roman"/>
                <w:sz w:val="21"/>
                <w:szCs w:val="21"/>
                <w:color w:val="008000"/>
                <w:vertAlign w:val="superscript"/>
              </w:rPr>
              <w:t>(3)</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05/20/2026</w:t>
            </w:r>
          </w:p>
        </w:tc>
        <w:tc>
          <w:tcPr>
            <w:tcW w:w="1200" w:type="dxa"/>
            <w:vAlign w:val="bottom"/>
          </w:tcPr>
          <w:p>
            <w:pPr>
              <w:spacing w:after="0"/>
              <w:rPr>
                <w:sz w:val="12"/>
                <w:szCs w:val="12"/>
                <w:color w:val="auto"/>
              </w:rPr>
            </w:pPr>
          </w:p>
        </w:tc>
        <w:tc>
          <w:tcPr>
            <w:tcW w:w="7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00" w:type="dxa"/>
            <w:vAlign w:val="bottom"/>
            <w:gridSpan w:val="3"/>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5,061</w:t>
            </w:r>
          </w:p>
        </w:tc>
        <w:tc>
          <w:tcPr>
            <w:tcW w:w="6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continue"/>
          </w:tcPr>
          <w:p>
            <w:pPr>
              <w:spacing w:after="0"/>
              <w:rPr>
                <w:sz w:val="12"/>
                <w:szCs w:val="12"/>
                <w:color w:val="auto"/>
              </w:rPr>
            </w:pPr>
          </w:p>
        </w:tc>
        <w:tc>
          <w:tcPr>
            <w:tcW w:w="74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common stock that have been withheld by the issuer to satisfy its income tax withholding and remittance obligations in connection with the net settlement of the restricted stock units and does not represent a sale.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on May 20, 2024, vesting ratably over three years with the first vest date of May 20, 2025.</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Drake Mills</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05/22/2026</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362"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2026-05-22T14:43:55Z</dcterms:created>
  <dcterms:modified xsi:type="dcterms:W3CDTF">2026-05-22T14:43:55Z</dcterms:modified>
</cp:coreProperties>
</file>