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(Amendment No.1)</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136" w:lineRule="exact"/>
        <w:rPr>
          <w:sz w:val="24"/>
          <w:szCs w:val="24"/>
          <w:color w:val="auto"/>
        </w:rPr>
      </w:pPr>
    </w:p>
    <w:p>
      <w:pPr>
        <w:ind w:left="200" w:right="1080" w:hanging="192"/>
        <w:spacing w:after="0" w:line="343" w:lineRule="auto"/>
        <w:tabs>
          <w:tab w:leader="none" w:pos="376"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1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7" w:lineRule="exact"/>
        <w:rPr>
          <w:sz w:val="24"/>
          <w:szCs w:val="24"/>
          <w:color w:val="auto"/>
        </w:rPr>
      </w:pPr>
    </w:p>
    <w:p>
      <w:pPr>
        <w:ind w:left="200" w:right="660" w:hanging="192"/>
        <w:spacing w:after="0" w:line="343" w:lineRule="auto"/>
        <w:tabs>
          <w:tab w:leader="none" w:pos="376"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 to __________</w:t>
      </w:r>
    </w:p>
    <w:p>
      <w:pPr>
        <w:spacing w:after="0" w:line="31" w:lineRule="exact"/>
        <w:rPr>
          <w:sz w:val="24"/>
          <w:szCs w:val="24"/>
          <w:color w:val="auto"/>
        </w:rPr>
      </w:pPr>
    </w:p>
    <w:tbl>
      <w:tblPr>
        <w:tblLayout w:type="fixed"/>
        <w:tblInd w:w="32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7000" w:type="dxa"/>
            <w:vAlign w:val="bottom"/>
          </w:tcPr>
          <w:p>
            <w:pPr>
              <w:jc w:val="center"/>
              <w:ind w:right="2518"/>
              <w:spacing w:after="0"/>
              <w:rPr>
                <w:sz w:val="20"/>
                <w:szCs w:val="20"/>
                <w:color w:val="auto"/>
              </w:rPr>
            </w:pPr>
            <w:r>
              <w:rPr>
                <w:rFonts w:ascii="Times New Roman" w:cs="Times New Roman" w:eastAsia="Times New Roman" w:hAnsi="Times New Roman"/>
                <w:sz w:val="20"/>
                <w:szCs w:val="20"/>
                <w:b w:val="1"/>
                <w:bCs w:val="1"/>
                <w:color w:val="auto"/>
                <w:w w:val="98"/>
              </w:rPr>
              <w:t>Commission file number 001-38487</w:t>
            </w:r>
          </w:p>
        </w:tc>
      </w:tr>
      <w:tr>
        <w:trPr>
          <w:trHeight w:val="512"/>
        </w:trPr>
        <w:tc>
          <w:tcPr>
            <w:tcW w:w="3120" w:type="dxa"/>
            <w:vAlign w:val="bottom"/>
          </w:tcPr>
          <w:p>
            <w:pPr>
              <w:spacing w:after="0"/>
              <w:rPr>
                <w:sz w:val="24"/>
                <w:szCs w:val="24"/>
                <w:color w:val="auto"/>
              </w:rPr>
            </w:pPr>
          </w:p>
        </w:tc>
        <w:tc>
          <w:tcPr>
            <w:tcW w:w="7000" w:type="dxa"/>
            <w:vAlign w:val="bottom"/>
          </w:tcPr>
          <w:p>
            <w:pPr>
              <w:jc w:val="center"/>
              <w:ind w:right="2538"/>
              <w:spacing w:after="0"/>
              <w:rPr>
                <w:sz w:val="20"/>
                <w:szCs w:val="20"/>
                <w:color w:val="auto"/>
              </w:rPr>
            </w:pPr>
            <w:r>
              <w:rPr>
                <w:rFonts w:ascii="Times New Roman" w:cs="Times New Roman" w:eastAsia="Times New Roman" w:hAnsi="Times New Roman"/>
                <w:sz w:val="40"/>
                <w:szCs w:val="40"/>
                <w:b w:val="1"/>
                <w:bCs w:val="1"/>
                <w:color w:val="auto"/>
                <w:w w:val="98"/>
              </w:rPr>
              <w:t>Origin Bancorp, Inc.</w:t>
            </w:r>
          </w:p>
        </w:tc>
      </w:tr>
      <w:tr>
        <w:trPr>
          <w:trHeight w:val="238"/>
        </w:trPr>
        <w:tc>
          <w:tcPr>
            <w:tcW w:w="3120" w:type="dxa"/>
            <w:vAlign w:val="bottom"/>
          </w:tcPr>
          <w:p>
            <w:pPr>
              <w:spacing w:after="0"/>
              <w:rPr>
                <w:sz w:val="20"/>
                <w:szCs w:val="20"/>
                <w:color w:val="auto"/>
              </w:rPr>
            </w:pPr>
          </w:p>
        </w:tc>
        <w:tc>
          <w:tcPr>
            <w:tcW w:w="7000" w:type="dxa"/>
            <w:vAlign w:val="bottom"/>
          </w:tcPr>
          <w:p>
            <w:pPr>
              <w:jc w:val="center"/>
              <w:ind w:right="251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42"/>
        </w:trPr>
        <w:tc>
          <w:tcPr>
            <w:tcW w:w="3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Louisiana</w:t>
            </w:r>
          </w:p>
        </w:tc>
        <w:tc>
          <w:tcPr>
            <w:tcW w:w="7000" w:type="dxa"/>
            <w:vAlign w:val="bottom"/>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72-1192928</w:t>
            </w:r>
          </w:p>
        </w:tc>
      </w:tr>
      <w:tr>
        <w:trPr>
          <w:trHeight w:val="184"/>
        </w:trPr>
        <w:tc>
          <w:tcPr>
            <w:tcW w:w="312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7000" w:type="dxa"/>
            <w:vAlign w:val="bottom"/>
          </w:tcPr>
          <w:p>
            <w:pPr>
              <w:jc w:val="center"/>
              <w:ind w:left="5038"/>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7000" w:type="dxa"/>
            <w:vAlign w:val="bottom"/>
          </w:tcPr>
          <w:p>
            <w:pPr>
              <w:jc w:val="center"/>
              <w:ind w:left="5098"/>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r>
        <w:trPr>
          <w:trHeight w:val="342"/>
        </w:trPr>
        <w:tc>
          <w:tcPr>
            <w:tcW w:w="3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500 South Service Road East</w:t>
            </w:r>
          </w:p>
        </w:tc>
        <w:tc>
          <w:tcPr>
            <w:tcW w:w="7000" w:type="dxa"/>
            <w:vAlign w:val="bottom"/>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71270</w:t>
            </w:r>
          </w:p>
        </w:tc>
      </w:tr>
      <w:tr>
        <w:trPr>
          <w:trHeight w:val="234"/>
        </w:trPr>
        <w:tc>
          <w:tcPr>
            <w:tcW w:w="3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Ruston, Louisiana</w:t>
            </w:r>
          </w:p>
        </w:tc>
        <w:tc>
          <w:tcPr>
            <w:tcW w:w="7000" w:type="dxa"/>
            <w:vAlign w:val="bottom"/>
          </w:tcPr>
          <w:p>
            <w:pPr>
              <w:spacing w:after="0"/>
              <w:rPr>
                <w:sz w:val="20"/>
                <w:szCs w:val="20"/>
                <w:color w:val="auto"/>
              </w:rPr>
            </w:pPr>
          </w:p>
        </w:tc>
      </w:tr>
      <w:tr>
        <w:trPr>
          <w:trHeight w:val="238"/>
        </w:trPr>
        <w:tc>
          <w:tcPr>
            <w:tcW w:w="3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w:t>
            </w:r>
          </w:p>
        </w:tc>
        <w:tc>
          <w:tcPr>
            <w:tcW w:w="7000" w:type="dxa"/>
            <w:vAlign w:val="bottom"/>
          </w:tcPr>
          <w:p>
            <w:pPr>
              <w:jc w:val="center"/>
              <w:ind w:left="5098"/>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29"/>
        </w:trPr>
        <w:tc>
          <w:tcPr>
            <w:tcW w:w="3120" w:type="dxa"/>
            <w:vAlign w:val="bottom"/>
          </w:tcPr>
          <w:p>
            <w:pPr>
              <w:spacing w:after="0"/>
              <w:rPr>
                <w:sz w:val="24"/>
                <w:szCs w:val="24"/>
                <w:color w:val="auto"/>
              </w:rPr>
            </w:pPr>
          </w:p>
        </w:tc>
        <w:tc>
          <w:tcPr>
            <w:tcW w:w="7000" w:type="dxa"/>
            <w:vAlign w:val="bottom"/>
          </w:tcPr>
          <w:p>
            <w:pPr>
              <w:jc w:val="right"/>
              <w:ind w:right="4078"/>
              <w:spacing w:after="0"/>
              <w:rPr>
                <w:sz w:val="20"/>
                <w:szCs w:val="20"/>
                <w:color w:val="auto"/>
              </w:rPr>
            </w:pPr>
            <w:r>
              <w:rPr>
                <w:rFonts w:ascii="Times New Roman" w:cs="Times New Roman" w:eastAsia="Times New Roman" w:hAnsi="Times New Roman"/>
                <w:sz w:val="18"/>
                <w:szCs w:val="18"/>
                <w:b w:val="1"/>
                <w:bCs w:val="1"/>
                <w:color w:val="auto"/>
              </w:rPr>
              <w:t>(318) 255-2222</w:t>
            </w:r>
          </w:p>
        </w:tc>
      </w:tr>
      <w:tr>
        <w:trPr>
          <w:trHeight w:val="238"/>
        </w:trPr>
        <w:tc>
          <w:tcPr>
            <w:tcW w:w="3120" w:type="dxa"/>
            <w:vAlign w:val="bottom"/>
          </w:tcPr>
          <w:p>
            <w:pPr>
              <w:spacing w:after="0"/>
              <w:rPr>
                <w:sz w:val="20"/>
                <w:szCs w:val="20"/>
                <w:color w:val="auto"/>
              </w:rPr>
            </w:pPr>
          </w:p>
        </w:tc>
        <w:tc>
          <w:tcPr>
            <w:tcW w:w="7000" w:type="dxa"/>
            <w:vAlign w:val="bottom"/>
          </w:tcPr>
          <w:p>
            <w:pPr>
              <w:jc w:val="center"/>
              <w:ind w:right="2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bl>
    <w:p>
      <w:pPr>
        <w:spacing w:after="0" w:line="3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402" w:right="459" w:bottom="1440" w:gutter="0" w:footer="0" w:header="0"/>
        </w:sectPr>
      </w:pPr>
    </w:p>
    <w:p>
      <w:pPr>
        <w:spacing w:after="0" w:line="1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par value $5.00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OBK</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04" w:lineRule="exact"/>
        <w:rPr>
          <w:sz w:val="24"/>
          <w:szCs w:val="24"/>
          <w:color w:val="auto"/>
        </w:rPr>
      </w:pPr>
    </w:p>
    <w:p>
      <w:pPr>
        <w:sectPr>
          <w:pgSz w:w="11900" w:h="16838" w:orient="portrait"/>
          <w:cols w:equalWidth="0" w:num="3">
            <w:col w:w="4180" w:space="720"/>
            <w:col w:w="2220" w:space="720"/>
            <w:col w:w="3280"/>
          </w:cols>
          <w:pgMar w:left="320" w:top="140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color w:val="auto"/>
        </w:rPr>
        <w:t>None</w:t>
      </w:r>
    </w:p>
    <w:p>
      <w:pPr>
        <w:spacing w:after="0" w:line="89" w:lineRule="exact"/>
        <w:rPr>
          <w:sz w:val="24"/>
          <w:szCs w:val="24"/>
          <w:color w:val="auto"/>
        </w:rPr>
      </w:pPr>
    </w:p>
    <w:p>
      <w:pPr>
        <w:ind w:right="92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2" w:right="459" w:bottom="1440" w:gutter="0" w:footer="0" w:header="0"/>
          <w:type w:val="continuous"/>
        </w:sectPr>
      </w:pPr>
    </w:p>
    <w:bookmarkStart w:id="1" w:name="page2"/>
    <w:bookmarkEnd w:id="1"/>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1417" w:right="379" w:bottom="1440" w:gutter="0" w:footer="0" w:header="0"/>
        </w:sectPr>
      </w:pPr>
    </w:p>
    <w:p>
      <w:pPr>
        <w:spacing w:after="0" w:line="8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2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0" w:type="dxa"/>
            <w:vAlign w:val="bottom"/>
          </w:tcPr>
          <w:p>
            <w:pPr>
              <w:spacing w:after="0"/>
              <w:rPr>
                <w:sz w:val="1"/>
                <w:szCs w:val="1"/>
                <w:color w:val="auto"/>
              </w:rPr>
            </w:pPr>
          </w:p>
        </w:tc>
      </w:tr>
      <w:tr>
        <w:trPr>
          <w:trHeight w:val="234"/>
        </w:trPr>
        <w:tc>
          <w:tcPr>
            <w:tcW w:w="220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0"/>
                <w:szCs w:val="20"/>
                <w:color w:val="auto"/>
              </w:rPr>
            </w:pP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20"/>
        <w:spacing w:after="0" w:line="181" w:lineRule="exact"/>
        <w:rPr>
          <w:sz w:val="20"/>
          <w:szCs w:val="20"/>
          <w:color w:val="auto"/>
        </w:rPr>
      </w:pPr>
      <w:r>
        <w:rPr>
          <w:rFonts w:ascii="MS PGothic" w:cs="MS PGothic" w:eastAsia="MS PGothic" w:hAnsi="MS PGothic"/>
          <w:sz w:val="18"/>
          <w:szCs w:val="18"/>
          <w:color w:val="auto"/>
        </w:rPr>
        <w:t>☐</w:t>
      </w:r>
    </w:p>
    <w:p>
      <w:pPr>
        <w:spacing w:after="0" w:line="29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78" w:lineRule="exact"/>
        <w:rPr>
          <w:sz w:val="20"/>
          <w:szCs w:val="20"/>
          <w:color w:val="auto"/>
        </w:rPr>
      </w:pPr>
    </w:p>
    <w:p>
      <w:pPr>
        <w:sectPr>
          <w:pgSz w:w="11900" w:h="16838" w:orient="portrait"/>
          <w:cols w:equalWidth="0" w:num="2">
            <w:col w:w="10740" w:space="220"/>
            <w:col w:w="240"/>
          </w:cols>
          <w:pgMar w:left="320" w:top="1417" w:right="379" w:bottom="1440" w:gutter="0" w:footer="0" w:header="0"/>
          <w:type w:val="continuous"/>
        </w:sect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was $1.06 billion as of June 30, 2025, the last business day of the Registrant’s most recently completed second fiscal quarter. Solely for the purpose of this computation, it has been assumed that executive officers and directors of the Registrant are “affiliates”.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30,983,713 shares of Common Stock, par value $5.00 per share, were issued and outstanding as of February 13, 2026.</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2026 Annual Meeting of Stockholders of Origin Bancorp, Inc. to be held on April 22, 2026, are incorporated by reference into Part III of this Annual Report on Form 10-K to the extent stated herein. Such Definitive Proxy Statement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on Form 10-K/A (“Amendment No. 1”) amends the Company's Annual Report on Form 10-K for the year ended December 31, 2025, originally filed with the Securities and Exchange Commission on February 25, 2026 (the “2025 Form 10-K”). This Amendment No. 1 is being filed solely to include the signature of our independent registered public accounting firm, Forvis Mazars, LLP, which was inadvertently omitted from the consent, which is filed herewith as Exhibit 23.1.</w:t>
      </w:r>
    </w:p>
    <w:p>
      <w:pPr>
        <w:spacing w:after="0" w:line="20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addition, as required by Rule 12b-15 under the Securities Exchange Act of 1934, as amended, new certifications by the Company’s principal executive officer and principal financial officer are filed as exhibits to this Amendment No. 1 under Item 15 of Part IV hereof.</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does not modify or update the disclosures set forth in the original filing, including the financial statements and notes to the financial statements set forth in the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71" w:lineRule="exact"/>
        <w:rPr>
          <w:rFonts w:ascii="Times New Roman" w:cs="Times New Roman" w:eastAsia="Times New Roman" w:hAnsi="Times New Roman"/>
          <w:sz w:val="18"/>
          <w:szCs w:val="18"/>
          <w:color w:val="auto"/>
        </w:rPr>
      </w:pPr>
    </w:p>
    <w:p>
      <w:pPr>
        <w:ind w:left="660" w:right="740" w:hanging="4"/>
        <w:spacing w:after="0" w:line="282" w:lineRule="auto"/>
        <w:tabs>
          <w:tab w:leader="none" w:pos="91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consolidated financial statements of the Company were previously submitted with the original filing of the Company’s Annual Report on Form 10-K, filed with the SEC on February 25, 2026.</w:t>
      </w:r>
    </w:p>
    <w:p>
      <w:pPr>
        <w:spacing w:after="0" w:line="40" w:lineRule="exact"/>
        <w:rPr>
          <w:rFonts w:ascii="Times New Roman" w:cs="Times New Roman" w:eastAsia="Times New Roman" w:hAnsi="Times New Roman"/>
          <w:sz w:val="18"/>
          <w:szCs w:val="18"/>
          <w:color w:val="auto"/>
        </w:rPr>
      </w:pPr>
    </w:p>
    <w:p>
      <w:pPr>
        <w:ind w:left="660" w:right="60" w:hanging="4"/>
        <w:spacing w:after="0" w:line="282" w:lineRule="auto"/>
        <w:tabs>
          <w:tab w:leader="none" w:pos="91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financial statement schedules are omitted because they are either not applicable or not required, or because the required information is included in the consolidated financial statements or the notes thereto.</w:t>
      </w:r>
    </w:p>
    <w:p>
      <w:pPr>
        <w:spacing w:after="0" w:line="26" w:lineRule="exact"/>
        <w:rPr>
          <w:rFonts w:ascii="Times New Roman" w:cs="Times New Roman" w:eastAsia="Times New Roman" w:hAnsi="Times New Roman"/>
          <w:sz w:val="18"/>
          <w:szCs w:val="18"/>
          <w:color w:val="auto"/>
        </w:rPr>
      </w:pPr>
    </w:p>
    <w:p>
      <w:pPr>
        <w:ind w:left="660" w:right="560" w:hanging="4"/>
        <w:spacing w:after="0" w:line="282" w:lineRule="auto"/>
        <w:tabs>
          <w:tab w:leader="none" w:pos="91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documents included in the Exhibits index below are incorporated by reference or are filed with this report, in each case as indicated therein (numbered in accordance with Item 601 of Regulation S-K). See (b) below.</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80" w:type="dxa"/>
            <w:vAlign w:val="bottom"/>
            <w:gridSpan w:val="22"/>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80" w:type="dxa"/>
            <w:vAlign w:val="bottom"/>
            <w:gridSpan w:val="2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20" w:type="dxa"/>
            <w:vAlign w:val="bottom"/>
            <w:tcBorders>
              <w:top w:val="single" w:sz="8" w:color="auto"/>
              <w:bottom w:val="single" w:sz="8" w:color="0000FF"/>
            </w:tcBorders>
            <w:gridSpan w:val="12"/>
          </w:tcPr>
          <w:p>
            <w:pPr>
              <w:spacing w:after="0"/>
              <w:rPr>
                <w:rFonts w:ascii="Times New Roman" w:cs="Times New Roman" w:eastAsia="Times New Roman" w:hAnsi="Times New Roman"/>
                <w:sz w:val="16"/>
                <w:szCs w:val="16"/>
                <w:color w:val="0000FF"/>
              </w:rPr>
            </w:pPr>
            <w:hyperlink r:id="rId11">
              <w:r>
                <w:rPr>
                  <w:rFonts w:ascii="Times New Roman" w:cs="Times New Roman" w:eastAsia="Times New Roman" w:hAnsi="Times New Roman"/>
                  <w:sz w:val="16"/>
                  <w:szCs w:val="16"/>
                  <w:color w:val="0000FF"/>
                </w:rPr>
                <w:t>Amended and Restated Articles of Incorporation, incorporated by reference to Exhibit 3.1 to the Company’s Form 8-K filed on April 28, 2020</w:t>
              </w:r>
            </w:hyperlink>
          </w:p>
        </w:tc>
        <w:tc>
          <w:tcPr>
            <w:tcW w:w="880" w:type="dxa"/>
            <w:vAlign w:val="bottom"/>
            <w:tcBorders>
              <w:top w:val="single" w:sz="8" w:color="auto"/>
            </w:tcBorders>
            <w:gridSpan w:val="1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0000FF"/>
                </w:rPr>
                <w:t>Amended and Restated Bylaws, incorporated by reference to Exhibit 3.2 to the Company’s Form 8-K filed on April 28, 2020</w:t>
              </w:r>
            </w:hyperlink>
          </w:p>
        </w:tc>
        <w:tc>
          <w:tcPr>
            <w:tcW w:w="20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Specimen common stock certificate, incorporated by reference to Exhibit 4.1 to the Company’s Registration Statement on Form S-1 filed April 10, 2018</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4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Description of Common Stock, incorporated by reference to Exhibit 4.3 to the Company’s 10-K for the year ended December 31, 2019</w:t>
              </w:r>
            </w:hyperlink>
          </w:p>
        </w:tc>
        <w:tc>
          <w:tcPr>
            <w:tcW w:w="136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the long-term debt securities of the Registrant and its subsidiaries are omitted pursuant to section (b)(4)(iii)(A)</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of Item 601 of Regulation S-K. The Registrant hereby agrees to furnish copies of these instruments to the SEC upon request.</w:t>
            </w:r>
          </w:p>
        </w:tc>
        <w:tc>
          <w:tcPr>
            <w:tcW w:w="0" w:type="dxa"/>
            <w:vAlign w:val="bottom"/>
          </w:tcPr>
          <w:p>
            <w:pPr>
              <w:spacing w:after="0"/>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Origin Bancorp, Inc. 2012 Stock Incentive Plan incorporated by reference to Exhibit 10.1 to the Company’s 10-Q filed for the quarter ended March 31,</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15">
              <w:r>
                <w:rPr>
                  <w:rFonts w:ascii="Times New Roman" w:cs="Times New Roman" w:eastAsia="Times New Roman" w:hAnsi="Times New Roman"/>
                  <w:sz w:val="16"/>
                  <w:szCs w:val="16"/>
                  <w:color w:val="0000FF"/>
                  <w:w w:val="93"/>
                </w:rPr>
                <w:t>2021</w:t>
              </w:r>
            </w:hyperlink>
          </w:p>
        </w:tc>
        <w:tc>
          <w:tcPr>
            <w:tcW w:w="6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BT Holdings, Inc. 2012 Equity Incentive Plan, incorporated by reference to Exhibit 4.4 of the Registrant’s Registration Statement on Form S-8 filed</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August 1, 2022</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First Amendment to the 2012 Equity Incentive Plan for BT Holdings, incorporated by reference to Exhibit 4.5 of the Registrant’s Registration Statement on</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Form S-8 filed August 1, 2022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2020 Restated Employment Agreement, dated February 27, 2020, by and between Origin Bancorp, Inc. and Drake Mills,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Exhibit 10.5 to the Company’s 10-K for the year ended December 31, 2019</w:t>
              </w:r>
            </w:hyperlink>
          </w:p>
        </w:tc>
        <w:tc>
          <w:tcPr>
            <w:tcW w:w="482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Amended and Restated Executive Salary Continuation Plan, effective May 1, 2008, between Community Trust Bank and Drake Mills, incorporated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reference to Exhibit 10.1 to the Company’s 10-Q for the quarter ended March 31, 2019</w:t>
              </w:r>
            </w:hyperlink>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Executive Deferred Compensation Agreement, dated March 30, 2001, by and between Community Trust Bank and Drake Mills, incorporated by reference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to Exhibit 10.12 to Amendment No. 1 to the Company’s Registration Statement on Form S-1 filed April 19, 2018</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Amended and Restated Life Insurance Endorsement Method Split Dollar Plan Agreement, dated April 25, 2018, by and among New York Life Insurance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Company, Origin Bank and Drake Mills, incorporated by reference to Exhibit 10.13 to Amendment No. 2 to the Company’s Registration Statement on</w:t>
              </w:r>
            </w:hyperlink>
          </w:p>
        </w:tc>
        <w:tc>
          <w:tcPr>
            <w:tcW w:w="1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Form S-1 filed April 27, 2018</w:t>
              </w:r>
            </w:hyperlink>
          </w:p>
        </w:tc>
        <w:tc>
          <w:tcPr>
            <w:tcW w:w="7760" w:type="dxa"/>
            <w:vAlign w:val="bottom"/>
            <w:tcBorders>
              <w:top w:val="single" w:sz="8" w:color="0000FF"/>
            </w:tcBorders>
            <w:gridSpan w:val="14"/>
          </w:tcPr>
          <w:p>
            <w:pPr>
              <w:spacing w:after="0"/>
              <w:rPr>
                <w:sz w:val="12"/>
                <w:szCs w:val="12"/>
                <w:color w:val="auto"/>
              </w:rPr>
            </w:pPr>
          </w:p>
        </w:tc>
        <w:tc>
          <w:tcPr>
            <w:tcW w:w="12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Amended and Restated Life Insurance Endorsement Method Split Dollar Plan Agreement, dated April 26, 2018, by and among Great-West Life &amp; Annuity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Insurance Company, Origin Bank and Drake Mills, incorporated by reference to Exhibit 10.14 to Amendment No. 2 to the Company’s Registration</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Statement on Form S-1 filed April 27, 2018</w:t>
              </w:r>
            </w:hyperlink>
          </w:p>
        </w:tc>
        <w:tc>
          <w:tcPr>
            <w:tcW w:w="160" w:type="dxa"/>
            <w:vAlign w:val="bottom"/>
            <w:gridSpan w:val="2"/>
          </w:tcPr>
          <w:p>
            <w:pPr>
              <w:spacing w:after="0"/>
              <w:rPr>
                <w:sz w:val="12"/>
                <w:szCs w:val="12"/>
                <w:color w:val="auto"/>
              </w:rPr>
            </w:pPr>
          </w:p>
        </w:tc>
        <w:tc>
          <w:tcPr>
            <w:tcW w:w="180" w:type="dxa"/>
            <w:vAlign w:val="bottom"/>
            <w:gridSpan w:val="5"/>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Amended and Restated Endorsement Split Dollar Life Insurance Agreement, dated February 27, 2020, by and between Origin Bank and Drake Mills,</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incorporated by reference to Exhibit 10.10 to the Company’s 10-K for the year ended December 31, 2019</w:t>
              </w:r>
            </w:hyperlink>
          </w:p>
        </w:tc>
        <w:tc>
          <w:tcPr>
            <w:tcW w:w="2840" w:type="dxa"/>
            <w:vAlign w:val="bottom"/>
            <w:tcBorders>
              <w:top w:val="single" w:sz="8" w:color="0000FF"/>
            </w:tcBorders>
            <w:gridSpan w:val="7"/>
          </w:tcPr>
          <w:p>
            <w:pPr>
              <w:spacing w:after="0"/>
              <w:rPr>
                <w:sz w:val="12"/>
                <w:szCs w:val="12"/>
                <w:color w:val="auto"/>
              </w:rPr>
            </w:pPr>
          </w:p>
        </w:tc>
        <w:tc>
          <w:tcPr>
            <w:tcW w:w="180" w:type="dxa"/>
            <w:vAlign w:val="bottom"/>
            <w:gridSpan w:val="5"/>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6"/>
          </w:tcPr>
          <w:p>
            <w:pPr>
              <w:spacing w:after="0"/>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2020 Restated Employment Agreement, dated February 27, 2020, by and between Origin Bancorp, Inc. and M. Lance Hall,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4">
              <w:r>
                <w:rPr>
                  <w:rFonts w:ascii="Times New Roman" w:cs="Times New Roman" w:eastAsia="Times New Roman" w:hAnsi="Times New Roman"/>
                  <w:sz w:val="16"/>
                  <w:szCs w:val="16"/>
                  <w:color w:val="0000FF"/>
                </w:rPr>
                <w:t>Exhibit 10.11 to the Company’s 10-K for the year ended December 31, 2019</w:t>
              </w:r>
            </w:hyperlink>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256"/>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0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60" w:type="dxa"/>
            <w:vAlign w:val="bottom"/>
            <w:gridSpan w:val="29"/>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00" w:type="dxa"/>
            <w:vAlign w:val="bottom"/>
            <w:tcBorders>
              <w:top w:val="single" w:sz="8" w:color="auto"/>
            </w:tcBorders>
          </w:tcPr>
          <w:p>
            <w:pPr>
              <w:jc w:val="right"/>
              <w:ind w:right="419"/>
              <w:spacing w:after="0" w:line="171" w:lineRule="exact"/>
              <w:rPr>
                <w:sz w:val="20"/>
                <w:szCs w:val="20"/>
                <w:color w:val="auto"/>
              </w:rPr>
            </w:pPr>
            <w:r>
              <w:rPr>
                <w:rFonts w:ascii="Times New Roman" w:cs="Times New Roman" w:eastAsia="Times New Roman" w:hAnsi="Times New Roman"/>
                <w:sz w:val="16"/>
                <w:szCs w:val="16"/>
                <w:color w:val="auto"/>
                <w:w w:val="99"/>
              </w:rPr>
              <w:t>10.11 *</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00" w:type="dxa"/>
            <w:vAlign w:val="bottom"/>
            <w:tcBorders>
              <w:top w:val="single" w:sz="8" w:color="auto"/>
            </w:tcBorders>
            <w:gridSpan w:val="39"/>
          </w:tcPr>
          <w:p>
            <w:pPr>
              <w:spacing w:after="0" w:line="171" w:lineRule="exact"/>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§409A Amended &amp; Restated Executive Salary Continuation Agreement, dated December 13, 2008, by and between Community Trust Bank and M. Lance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7">
              <w:r>
                <w:rPr>
                  <w:rFonts w:ascii="Times New Roman" w:cs="Times New Roman" w:eastAsia="Times New Roman" w:hAnsi="Times New Roman"/>
                  <w:sz w:val="16"/>
                  <w:szCs w:val="16"/>
                  <w:color w:val="0000FF"/>
                </w:rPr>
                <w:t>Hall, incorporated by reference to Exhibit 10.11 to Amendment No. 1 to the Company’s Registration Statement on Form S-1 filed April 19, 2018</w:t>
              </w:r>
            </w:hyperlink>
          </w:p>
        </w:tc>
        <w:tc>
          <w:tcPr>
            <w:tcW w:w="62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Life Insurance Endorsement Method Split Dollar Plan Agreement, dated September 4, 2002, by and between Community Trust Bank and M. Lance Hall,</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28">
              <w:r>
                <w:rPr>
                  <w:rFonts w:ascii="Times New Roman" w:cs="Times New Roman" w:eastAsia="Times New Roman" w:hAnsi="Times New Roman"/>
                  <w:sz w:val="16"/>
                  <w:szCs w:val="16"/>
                  <w:color w:val="0000FF"/>
                </w:rPr>
                <w:t>incorporated by reference to Exhibit 10.15 to Amendment No. 1 to the Company’s Registration Statement on Form S-1 filed April 19,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10.13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29">
              <w:r>
                <w:rPr>
                  <w:rFonts w:ascii="Times New Roman" w:cs="Times New Roman" w:eastAsia="Times New Roman" w:hAnsi="Times New Roman"/>
                  <w:sz w:val="16"/>
                  <w:szCs w:val="16"/>
                  <w:color w:val="0000FF"/>
                </w:rPr>
                <w:t>Amendment to the Life Insurance Endorsement Split Dollar Plan Agreement, dated December 8, 2008, by and between Community Trust Bank and M.</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9">
              <w:r>
                <w:rPr>
                  <w:rFonts w:ascii="Times New Roman" w:cs="Times New Roman" w:eastAsia="Times New Roman" w:hAnsi="Times New Roman"/>
                  <w:sz w:val="16"/>
                  <w:szCs w:val="16"/>
                  <w:color w:val="0000FF"/>
                </w:rPr>
                <w:t>Lance Hall, incorporated by reference to Exhibit 10.16 to Amendment No. 1 to the Company’s Registration Statement on Form S-1 filed April 19, 2018</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30">
              <w:r>
                <w:rPr>
                  <w:rFonts w:ascii="Times New Roman" w:cs="Times New Roman" w:eastAsia="Times New Roman" w:hAnsi="Times New Roman"/>
                  <w:sz w:val="16"/>
                  <w:szCs w:val="16"/>
                  <w:color w:val="0000FF"/>
                </w:rPr>
                <w:t>Amendment to the Life Insurance Endorsement Method Split Dollar Plan Agreement, dated December 18, 2009, by and between Community Trust Bank</w:t>
              </w:r>
            </w:hyperlink>
          </w:p>
        </w:tc>
        <w:tc>
          <w:tcPr>
            <w:tcW w:w="1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gridSpan w:val="39"/>
          </w:tcPr>
          <w:p>
            <w:pPr>
              <w:spacing w:after="0" w:line="142" w:lineRule="exact"/>
              <w:rPr>
                <w:rFonts w:ascii="Times New Roman" w:cs="Times New Roman" w:eastAsia="Times New Roman" w:hAnsi="Times New Roman"/>
                <w:sz w:val="16"/>
                <w:szCs w:val="16"/>
                <w:color w:val="0000FF"/>
              </w:rPr>
            </w:pPr>
            <w:hyperlink r:id="rId30">
              <w:r>
                <w:rPr>
                  <w:rFonts w:ascii="Times New Roman" w:cs="Times New Roman" w:eastAsia="Times New Roman" w:hAnsi="Times New Roman"/>
                  <w:sz w:val="16"/>
                  <w:szCs w:val="16"/>
                  <w:color w:val="0000FF"/>
                </w:rPr>
                <w:t>and M. Lance Hall, incorporated by reference to Exhibit 10.17 of Amendment No. 1 to the Company’s Registration Statement on Form S-1 filed April 19,</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30">
              <w:r>
                <w:rPr>
                  <w:rFonts w:ascii="Times New Roman" w:cs="Times New Roman" w:eastAsia="Times New Roman" w:hAnsi="Times New Roman"/>
                  <w:sz w:val="16"/>
                  <w:szCs w:val="16"/>
                  <w:color w:val="0000FF"/>
                  <w:w w:val="93"/>
                </w:rPr>
                <w:t>2018</w:t>
              </w:r>
            </w:hyperlink>
          </w:p>
        </w:tc>
        <w:tc>
          <w:tcPr>
            <w:tcW w:w="23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1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10.15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1">
              <w:r>
                <w:rPr>
                  <w:rFonts w:ascii="Times New Roman" w:cs="Times New Roman" w:eastAsia="Times New Roman" w:hAnsi="Times New Roman"/>
                  <w:sz w:val="16"/>
                  <w:szCs w:val="16"/>
                  <w:color w:val="0000FF"/>
                </w:rPr>
                <w:t>Executive Supplemental Income Agreement, dated October 29, 2019, by and between Origin Bank and M. Lance Hall,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31">
              <w:r>
                <w:rPr>
                  <w:rFonts w:ascii="Times New Roman" w:cs="Times New Roman" w:eastAsia="Times New Roman" w:hAnsi="Times New Roman"/>
                  <w:sz w:val="16"/>
                  <w:szCs w:val="16"/>
                  <w:color w:val="0000FF"/>
                </w:rPr>
                <w:t>Exhibit 10.1 to the Company’s Form 8-K filed October 31, 2019</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10.16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2">
              <w:r>
                <w:rPr>
                  <w:rFonts w:ascii="Times New Roman" w:cs="Times New Roman" w:eastAsia="Times New Roman" w:hAnsi="Times New Roman"/>
                  <w:sz w:val="16"/>
                  <w:szCs w:val="16"/>
                  <w:color w:val="0000FF"/>
                </w:rPr>
                <w:t>Endorsement Split Dollar Life Insurance Agreement, dated October 29, 2019, by and between Origin Bank and M. Lance Hall, incorporated by reference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32">
              <w:r>
                <w:rPr>
                  <w:rFonts w:ascii="Times New Roman" w:cs="Times New Roman" w:eastAsia="Times New Roman" w:hAnsi="Times New Roman"/>
                  <w:sz w:val="16"/>
                  <w:szCs w:val="16"/>
                  <w:color w:val="0000FF"/>
                </w:rPr>
                <w:t>to Exhibit 10.3 to the Company’s Form 8-K filed October 31, 2019</w:t>
              </w:r>
            </w:hyperlink>
          </w:p>
        </w:tc>
        <w:tc>
          <w:tcPr>
            <w:tcW w:w="56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10.17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3">
              <w:r>
                <w:rPr>
                  <w:rFonts w:ascii="Times New Roman" w:cs="Times New Roman" w:eastAsia="Times New Roman" w:hAnsi="Times New Roman"/>
                  <w:sz w:val="16"/>
                  <w:szCs w:val="16"/>
                  <w:color w:val="0000FF"/>
                </w:rPr>
                <w:t>Supplemental Executive Retirement Plan, dated August 17, 2018, by and between Origin Bank and Stephen H. Brolly,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3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Company’s Form 8-K filed August 21, 2018</w:t>
              </w:r>
            </w:hyperlink>
          </w:p>
        </w:tc>
        <w:tc>
          <w:tcPr>
            <w:tcW w:w="646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10.18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Endorsement Split Dollar Life Insurance Agreement, dated August 17, 2018, by and between Origin Bank and Stephen H. Brolly, incorporated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34">
              <w:r>
                <w:rPr>
                  <w:rFonts w:ascii="Times New Roman" w:cs="Times New Roman" w:eastAsia="Times New Roman" w:hAnsi="Times New Roman"/>
                  <w:sz w:val="16"/>
                  <w:szCs w:val="16"/>
                  <w:color w:val="0000FF"/>
                </w:rPr>
                <w:t>reference to Exhibit 10.2 to the Company’s Form 8-K filed August 21, 2018</w:t>
              </w:r>
            </w:hyperlink>
          </w:p>
        </w:tc>
        <w:tc>
          <w:tcPr>
            <w:tcW w:w="452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10.19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5">
              <w:r>
                <w:rPr>
                  <w:rFonts w:ascii="Times New Roman" w:cs="Times New Roman" w:eastAsia="Times New Roman" w:hAnsi="Times New Roman"/>
                  <w:sz w:val="16"/>
                  <w:szCs w:val="16"/>
                  <w:color w:val="0000FF"/>
                </w:rPr>
                <w:t>Change in Control Agreement, dated March 28, 2018, among Origin Bank, Origin Bancorp, Inc. and Preston Moore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3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31</w:t>
              </w:r>
              <w:r>
                <w:rPr>
                  <w:rFonts w:ascii="Times New Roman" w:cs="Times New Roman" w:eastAsia="Times New Roman" w:hAnsi="Times New Roman"/>
                  <w:sz w:val="16"/>
                  <w:szCs w:val="16"/>
                  <w:color w:val="0000FF"/>
                </w:rPr>
                <w:t xml:space="preserve"> to the Company’s 10-K for the year ended December 31,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10.20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Change in Control Agreement, dated September 24, 2025, among Origin Bank, Origin Bancorp, Inc. and Jimmy R. Crotwell,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36">
              <w:r>
                <w:rPr>
                  <w:rFonts w:ascii="Times New Roman" w:cs="Times New Roman" w:eastAsia="Times New Roman" w:hAnsi="Times New Roman"/>
                  <w:sz w:val="16"/>
                  <w:szCs w:val="16"/>
                  <w:color w:val="0000FF"/>
                </w:rPr>
                <w:t>Exhibit 10.20 to the Company's original Form 10-K filed February 25, 2026</w:t>
              </w:r>
            </w:hyperlink>
          </w:p>
        </w:tc>
        <w:tc>
          <w:tcPr>
            <w:tcW w:w="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10.21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Form of Performance Stock Unit Agreement under the Origin Bancorp, Inc. 2012 Stock Incentive Plan, incorporated by reference to Exhibit 10.29 to the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Company’s Form 10-K filed February 22, 2023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Form of Restricted Stock Unit Agreement under the Origin Bancorp, Inc. 2012 Stock Incentive Plan, incorporated by reference to Exhibit 10.30 to the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Company’s Form 10-K filed February 22, 2023</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10.23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Change in Control Agreement, dated February 22, 2022, among Origin Bank, Origin Bancorp, Inc. and Derek McGee,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31</w:t>
              </w:r>
              <w:r>
                <w:rPr>
                  <w:rFonts w:ascii="Times New Roman" w:cs="Times New Roman" w:eastAsia="Times New Roman" w:hAnsi="Times New Roman"/>
                  <w:sz w:val="16"/>
                  <w:szCs w:val="16"/>
                  <w:color w:val="0000FF"/>
                </w:rPr>
                <w:t xml:space="preserve"> to the Company’s Form 10-K filed February 22, 2023</w:t>
              </w:r>
            </w:hyperlink>
          </w:p>
        </w:tc>
        <w:tc>
          <w:tcPr>
            <w:tcW w:w="620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Change in Control Agreement, dated July 27, 2022, among Origin Bank, Origin Bancorp, Inc. and William Wallace,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99.</w:t>
              </w:r>
              <w:r>
                <w:rPr>
                  <w:rFonts w:ascii="Times New Roman" w:cs="Times New Roman" w:eastAsia="Times New Roman" w:hAnsi="Times New Roman"/>
                  <w:sz w:val="16"/>
                  <w:szCs w:val="16"/>
                  <w:u w:val="single" w:color="auto"/>
                  <w:color w:val="0000FF"/>
                </w:rPr>
                <w:t>5</w:t>
              </w:r>
              <w:r>
                <w:rPr>
                  <w:rFonts w:ascii="Times New Roman" w:cs="Times New Roman" w:eastAsia="Times New Roman" w:hAnsi="Times New Roman"/>
                  <w:sz w:val="16"/>
                  <w:szCs w:val="16"/>
                  <w:color w:val="0000FF"/>
                </w:rPr>
                <w:t xml:space="preserve"> to the Company’s Form 8-K filed July 27, 2022</w:t>
              </w:r>
            </w:hyperlink>
          </w:p>
        </w:tc>
        <w:tc>
          <w:tcPr>
            <w:tcW w:w="6560" w:type="dxa"/>
            <w:vAlign w:val="bottom"/>
            <w:tcBorders>
              <w:top w:val="single" w:sz="8" w:color="0000FF"/>
            </w:tcBorders>
            <w:gridSpan w:val="2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10.25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Employment Agreement between Origin Bancorp, Inc., and Stephen Brolly, dated August 8, 2022, incorporated by reference to Exhibit 99.4 to the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Company’s Form 8-K filed July 27, 2022</w:t>
              </w:r>
            </w:hyperlink>
          </w:p>
        </w:tc>
        <w:tc>
          <w:tcPr>
            <w:tcW w:w="6820" w:type="dxa"/>
            <w:vAlign w:val="bottom"/>
            <w:tcBorders>
              <w:top w:val="single" w:sz="8" w:color="0000FF"/>
            </w:tcBorders>
            <w:gridSpan w:val="15"/>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10.26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Amendment to Employment Agreement, dated May 24, 2022, among BTH Bank, N.A, BT Holdings, Inc., and Lori Sirman,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Exhibit 10.35 to the Company’s Form 10-K filed February 22, 2023</w:t>
              </w:r>
            </w:hyperlink>
          </w:p>
        </w:tc>
        <w:tc>
          <w:tcPr>
            <w:tcW w:w="5500" w:type="dxa"/>
            <w:vAlign w:val="bottom"/>
            <w:tcBorders>
              <w:top w:val="single" w:sz="8" w:color="0000FF"/>
            </w:tcBorders>
            <w:gridSpan w:val="19"/>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10.27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Second Amendment to the Employment Agreement, dated January 1, 2025, among Origin Bank and Lori Sirman,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29</w:t>
              </w:r>
              <w:r>
                <w:rPr>
                  <w:rFonts w:ascii="Times New Roman" w:cs="Times New Roman" w:eastAsia="Times New Roman" w:hAnsi="Times New Roman"/>
                  <w:sz w:val="16"/>
                  <w:szCs w:val="16"/>
                  <w:color w:val="0000FF"/>
                </w:rPr>
                <w:t xml:space="preserve"> to the Company’s Form 10-K filed February 27, 2025</w:t>
              </w:r>
            </w:hyperlink>
          </w:p>
        </w:tc>
        <w:tc>
          <w:tcPr>
            <w:tcW w:w="5880" w:type="dxa"/>
            <w:vAlign w:val="bottom"/>
            <w:tcBorders>
              <w:top w:val="single" w:sz="8" w:color="0000FF"/>
            </w:tcBorders>
            <w:gridSpan w:val="15"/>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7"/>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10.28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Origin Bancorp, Inc., Origin Bank Nonqualified Deferred Compensation Plan, dated December 8, 2022, incorporated by reference to Exhibit 10.37 to the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Company’s Form 10-K filed February 22, 2023</w:t>
              </w:r>
            </w:hyperlink>
          </w:p>
        </w:tc>
        <w:tc>
          <w:tcPr>
            <w:tcW w:w="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10.29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Origin Bancorp, Inc., Origin Bank Long Term Equity Deferred Compensation Plan, dated December 8, 2022, incorporated by reference to Exhibit 10.38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the Company’s Form 10-K filed February 22, 2023</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10.30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Form of Incentive Agreement for Performance Unit Award under the Origin Bancorp, Inc. 2012 Stock Incentive Plan, dated December 13, 2022, by and</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between Origin Bancorp, Inc. and Drake Mills, incorporated by reference to Exhibit 10.39 to the Company’s Form 10-K filed February 22, 2023</w:t>
              </w:r>
            </w:hyperlink>
          </w:p>
        </w:tc>
        <w:tc>
          <w:tcPr>
            <w:tcW w:w="500" w:type="dxa"/>
            <w:vAlign w:val="bottom"/>
            <w:tcBorders>
              <w:top w:val="single" w:sz="8" w:color="0000FF"/>
            </w:tcBorders>
            <w:gridSpan w:val="12"/>
          </w:tcPr>
          <w:p>
            <w:pPr>
              <w:spacing w:after="0"/>
              <w:rPr>
                <w:sz w:val="12"/>
                <w:szCs w:val="12"/>
                <w:color w:val="auto"/>
              </w:rPr>
            </w:pPr>
          </w:p>
        </w:tc>
        <w:tc>
          <w:tcPr>
            <w:tcW w:w="2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10.31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Form of Incentive Agreement for Restricted Stock Unit Award under the Origin Bancorp, Inc. 2012 Stock Incentive Plan, dated December 13, 2022,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and between Origin Bancorp, Inc. and Drake Mills, incorporated by reference to Exhibit 10.40 to the Company’s Form 10-K filed February 22, 2023</w:t>
              </w:r>
            </w:hyperlink>
          </w:p>
        </w:tc>
        <w:tc>
          <w:tcPr>
            <w:tcW w:w="180" w:type="dxa"/>
            <w:vAlign w:val="bottom"/>
            <w:tcBorders>
              <w:top w:val="single" w:sz="8" w:color="0000FF"/>
            </w:tcBorders>
            <w:gridSpan w:val="5"/>
          </w:tcPr>
          <w:p>
            <w:pPr>
              <w:spacing w:after="0"/>
              <w:rPr>
                <w:sz w:val="12"/>
                <w:szCs w:val="12"/>
                <w:color w:val="auto"/>
              </w:rPr>
            </w:pPr>
          </w:p>
        </w:tc>
        <w:tc>
          <w:tcPr>
            <w:tcW w:w="2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39"/>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Origin Bancorp, Inc. 2021 Employee Stock Purchase Plan, incorporated by reference to Exhibit 10.1 to the Company’s Form 8-K filed April 30, 2021</w:t>
              </w:r>
            </w:hyperlink>
          </w:p>
        </w:tc>
        <w:tc>
          <w:tcPr>
            <w:tcW w:w="0" w:type="dxa"/>
            <w:vAlign w:val="bottom"/>
          </w:tcPr>
          <w:p>
            <w:pPr>
              <w:spacing w:after="0"/>
              <w:rPr>
                <w:sz w:val="1"/>
                <w:szCs w:val="1"/>
                <w:color w:val="auto"/>
              </w:rPr>
            </w:pPr>
          </w:p>
        </w:tc>
      </w:tr>
      <w:tr>
        <w:trPr>
          <w:trHeight w:val="1243"/>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3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160" w:type="dxa"/>
            <w:vAlign w:val="bottom"/>
            <w:gridSpan w:val="5"/>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00" w:type="dxa"/>
            <w:vAlign w:val="bottom"/>
            <w:tcBorders>
              <w:top w:val="single" w:sz="8" w:color="auto"/>
            </w:tcBorders>
          </w:tcPr>
          <w:p>
            <w:pPr>
              <w:jc w:val="right"/>
              <w:ind w:right="399"/>
              <w:spacing w:after="0" w:line="171" w:lineRule="exact"/>
              <w:rPr>
                <w:sz w:val="20"/>
                <w:szCs w:val="20"/>
                <w:color w:val="auto"/>
              </w:rPr>
            </w:pPr>
            <w:r>
              <w:rPr>
                <w:rFonts w:ascii="Times New Roman" w:cs="Times New Roman" w:eastAsia="Times New Roman" w:hAnsi="Times New Roman"/>
                <w:sz w:val="16"/>
                <w:szCs w:val="16"/>
                <w:color w:val="auto"/>
              </w:rPr>
              <w:t>10.33 *</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00" w:type="dxa"/>
            <w:vAlign w:val="bottom"/>
            <w:tcBorders>
              <w:top w:val="single" w:sz="8" w:color="auto"/>
            </w:tcBorders>
            <w:gridSpan w:val="8"/>
          </w:tcPr>
          <w:p>
            <w:pPr>
              <w:spacing w:after="0" w:line="171"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Origin Bancorp, Inc. Omnibus Incentive Plan incorporated by reference to Appendix A to the Company's Definitive Proxy Statement Schedule 14 A filed</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March 14, 2024</w:t>
              </w:r>
            </w:hyperlink>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10.34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8"/>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Form of Incentive Agreement for Director Restricted Stock Awards under the Origin Bancorp, Inc. Omnibus Incentive Plan,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Exhibit 10.1 to the Company’s Form 10-Q filed May 7, 2024</w:t>
              </w:r>
            </w:hyperlink>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10.35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8"/>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Form of Incentive Agreement for Restricted Stock Unit Awards under the Origin Bancorp, Inc. Omnibus Incentive Plan, incorporated by reference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Exhibit 10.2 to the Company’s Form 10-Q filed May 7, 2024</w:t>
              </w:r>
            </w:hyperlink>
          </w:p>
        </w:tc>
        <w:tc>
          <w:tcPr>
            <w:tcW w:w="28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10.36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Form of Incentive Agreement for Performance Unit Awards under the Origin Bancorp, Inc. Omnibus Incentive Plan, incorporated by reference to Exhibit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r>
                <w:rPr>
                  <w:rFonts w:ascii="Times New Roman" w:cs="Times New Roman" w:eastAsia="Times New Roman" w:hAnsi="Times New Roman"/>
                  <w:sz w:val="16"/>
                  <w:szCs w:val="16"/>
                  <w:color w:val="0000FF"/>
                </w:rPr>
                <w:t xml:space="preserve"> to the Company’s Form 10-Q filed May 7, 2024</w:t>
              </w:r>
            </w:hyperlink>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hanging="1114"/>
        <w:spacing w:after="0"/>
        <w:tabs>
          <w:tab w:leader="none" w:pos="1140" w:val="left"/>
        </w:tabs>
        <w:numPr>
          <w:ilvl w:val="0"/>
          <w:numId w:val="4"/>
        </w:numPr>
        <w:rPr>
          <w:rFonts w:ascii="Times New Roman" w:cs="Times New Roman" w:eastAsia="Times New Roman" w:hAnsi="Times New Roman"/>
          <w:sz w:val="16"/>
          <w:szCs w:val="16"/>
          <w:u w:val="single" w:color="auto"/>
          <w:color w:val="0000FF"/>
        </w:rPr>
      </w:pPr>
      <w:hyperlink r:id="rId55">
        <w:r>
          <w:rPr>
            <w:rFonts w:ascii="Times New Roman" w:cs="Times New Roman" w:eastAsia="Times New Roman" w:hAnsi="Times New Roman"/>
            <w:sz w:val="16"/>
            <w:szCs w:val="16"/>
            <w:u w:val="single" w:color="auto"/>
            <w:color w:val="0000FF"/>
          </w:rPr>
          <w:t>Insider Trading Policy incorporated by reference to Exhibit 19 to the Company’s Form 10-K filed February 27, 2025</w:t>
        </w:r>
      </w:hyperlink>
    </w:p>
    <w:p>
      <w:pPr>
        <w:spacing w:after="0" w:line="86" w:lineRule="exact"/>
        <w:rPr>
          <w:sz w:val="20"/>
          <w:szCs w:val="20"/>
          <w:color w:val="auto"/>
        </w:rPr>
      </w:pPr>
    </w:p>
    <w:p>
      <w:pPr>
        <w:ind w:left="1140" w:hanging="1114"/>
        <w:spacing w:after="0"/>
        <w:tabs>
          <w:tab w:leader="none" w:pos="1140" w:val="left"/>
        </w:tabs>
        <w:numPr>
          <w:ilvl w:val="0"/>
          <w:numId w:val="5"/>
        </w:numPr>
        <w:rPr>
          <w:rFonts w:ascii="Times New Roman" w:cs="Times New Roman" w:eastAsia="Times New Roman" w:hAnsi="Times New Roman"/>
          <w:sz w:val="16"/>
          <w:szCs w:val="16"/>
          <w:u w:val="single" w:color="auto"/>
          <w:color w:val="0000FF"/>
        </w:rPr>
      </w:pPr>
      <w:hyperlink r:id="rId56">
        <w:r>
          <w:rPr>
            <w:rFonts w:ascii="Times New Roman" w:cs="Times New Roman" w:eastAsia="Times New Roman" w:hAnsi="Times New Roman"/>
            <w:sz w:val="16"/>
            <w:szCs w:val="16"/>
            <w:u w:val="single" w:color="auto"/>
            <w:color w:val="0000FF"/>
          </w:rPr>
          <w:t>Subsidiaries of the Registrant, incorporated by reference to Exhibit 21 to the Company's original Form 10-K filed February 25, 2026</w:t>
        </w:r>
      </w:hyperlink>
    </w:p>
    <w:p>
      <w:pPr>
        <w:spacing w:after="0" w:line="86" w:lineRule="exact"/>
        <w:rPr>
          <w:sz w:val="20"/>
          <w:szCs w:val="20"/>
          <w:color w:val="auto"/>
        </w:rPr>
      </w:pPr>
    </w:p>
    <w:p>
      <w:pPr>
        <w:ind w:left="1140" w:hanging="1114"/>
        <w:spacing w:after="0"/>
        <w:tabs>
          <w:tab w:leader="none" w:pos="1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Consent of Independent Registered Public Accounting Firm</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31.1</w:t>
            </w:r>
          </w:p>
        </w:tc>
        <w:tc>
          <w:tcPr>
            <w:tcW w:w="10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Rule 13a-14(a) and Rule 15d-14(a), as Adopted Pursuant to Section 302 of the Sarbanes-Oxley Act of</w:t>
            </w:r>
          </w:p>
        </w:tc>
      </w:tr>
      <w:tr>
        <w:trPr>
          <w:trHeight w:val="142"/>
        </w:trPr>
        <w:tc>
          <w:tcPr>
            <w:tcW w:w="1120" w:type="dxa"/>
            <w:vAlign w:val="bottom"/>
          </w:tcPr>
          <w:p>
            <w:pPr>
              <w:spacing w:after="0"/>
              <w:rPr>
                <w:sz w:val="12"/>
                <w:szCs w:val="12"/>
                <w:color w:val="auto"/>
              </w:rPr>
            </w:pPr>
          </w:p>
        </w:tc>
        <w:tc>
          <w:tcPr>
            <w:tcW w:w="32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3"/>
              </w:rPr>
              <w:t>2002</w:t>
            </w:r>
          </w:p>
        </w:tc>
        <w:tc>
          <w:tcPr>
            <w:tcW w:w="9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5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31.2</w:t>
            </w:r>
          </w:p>
        </w:tc>
        <w:tc>
          <w:tcPr>
            <w:tcW w:w="100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Rule 13a-14(a) and Rule 15d-14(a), as Adopted Pursuant to Section 302 of the Sarbanes-Oxley Act of</w:t>
            </w:r>
          </w:p>
        </w:tc>
      </w:tr>
      <w:tr>
        <w:trPr>
          <w:trHeight w:val="142"/>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3"/>
              </w:rPr>
              <w:t>2002</w:t>
            </w:r>
          </w:p>
        </w:tc>
        <w:tc>
          <w:tcPr>
            <w:tcW w:w="9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r>
      <w:tr>
        <w:trPr>
          <w:trHeight w:val="25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32.1</w:t>
            </w:r>
          </w:p>
        </w:tc>
        <w:tc>
          <w:tcPr>
            <w:tcW w:w="100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by Chief Executive Officer pursuant to 18 U.S.C. Section 1350, as Adopted Pursuant to Section 906 of the Sarbanes-Oxley Act of 2002</w:t>
            </w:r>
          </w:p>
        </w:tc>
      </w:tr>
      <w:tr>
        <w:trPr>
          <w:trHeight w:val="25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32.2</w:t>
            </w:r>
          </w:p>
        </w:tc>
        <w:tc>
          <w:tcPr>
            <w:tcW w:w="9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by Chief Financial Officer pursuant to 18 U.S.C. Section 1350, as Adopted Pursuant to Section 906 of the Sarbanes-Oxley Act of 2002</w:t>
            </w:r>
          </w:p>
        </w:tc>
        <w:tc>
          <w:tcPr>
            <w:tcW w:w="380" w:type="dxa"/>
            <w:vAlign w:val="bottom"/>
            <w:gridSpan w:val="2"/>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ind w:left="1140" w:right="320" w:hanging="1114"/>
        <w:spacing w:after="0" w:line="280" w:lineRule="auto"/>
        <w:tabs>
          <w:tab w:leader="none" w:pos="1140" w:val="left"/>
        </w:tabs>
        <w:numPr>
          <w:ilvl w:val="0"/>
          <w:numId w:val="7"/>
        </w:numPr>
        <w:rPr>
          <w:rFonts w:ascii="Times New Roman" w:cs="Times New Roman" w:eastAsia="Times New Roman" w:hAnsi="Times New Roman"/>
          <w:sz w:val="16"/>
          <w:szCs w:val="16"/>
          <w:u w:val="single" w:color="auto"/>
          <w:color w:val="0000FF"/>
        </w:rPr>
      </w:pPr>
      <w:hyperlink r:id="rId57">
        <w:r>
          <w:rPr>
            <w:rFonts w:ascii="Times New Roman" w:cs="Times New Roman" w:eastAsia="Times New Roman" w:hAnsi="Times New Roman"/>
            <w:sz w:val="16"/>
            <w:szCs w:val="16"/>
            <w:u w:val="single" w:color="auto"/>
            <w:color w:val="0000FF"/>
          </w:rPr>
          <w:t>Origin Bancorp, Inc. Clawback Policy, dated October 2, 2023, incorporated by reference to Exhibit 97 to the Company’s Form 10-K filed February 28,</w:t>
        </w:r>
      </w:hyperlink>
      <w:r>
        <w:rPr>
          <w:rFonts w:ascii="Times New Roman" w:cs="Times New Roman" w:eastAsia="Times New Roman" w:hAnsi="Times New Roman"/>
          <w:sz w:val="16"/>
          <w:szCs w:val="16"/>
          <w:u w:val="single" w:color="auto"/>
          <w:color w:val="0000FF"/>
        </w:rPr>
        <w:t xml:space="preserve"> </w:t>
      </w:r>
      <w:hyperlink r:id="rId57">
        <w:r>
          <w:rPr>
            <w:rFonts w:ascii="Times New Roman" w:cs="Times New Roman" w:eastAsia="Times New Roman" w:hAnsi="Times New Roman"/>
            <w:sz w:val="16"/>
            <w:szCs w:val="16"/>
            <w:u w:val="single" w:color="auto"/>
            <w:color w:val="0000FF"/>
          </w:rPr>
          <w:t>2024</w:t>
        </w:r>
      </w:hyperlink>
    </w:p>
    <w:p>
      <w:pPr>
        <w:spacing w:after="0" w:line="124" w:lineRule="exact"/>
        <w:rPr>
          <w:rFonts w:ascii="Times New Roman" w:cs="Times New Roman" w:eastAsia="Times New Roman" w:hAnsi="Times New Roman"/>
          <w:sz w:val="16"/>
          <w:szCs w:val="16"/>
          <w:color w:val="auto"/>
        </w:rPr>
      </w:pPr>
    </w:p>
    <w:p>
      <w:pPr>
        <w:ind w:left="1140" w:right="100" w:hanging="1114"/>
        <w:spacing w:after="0" w:line="227" w:lineRule="auto"/>
        <w:tabs>
          <w:tab w:leader="none" w:pos="1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Origin Bancorp, Inc. Annual Report on Form 10-K for the year ended December 31, 2025, is formatted in Inline XBRL: (i) the Consolidated Balance Sheets, (ii) the Consolidated Statements of Income, (iii) the Consolidated Statements of Comprehensive Income (Loss), (iv) the Consolidated Statements of Changes in Stockholders’ Equity, (v) the Consolidated Statements of Cash Flows, and (vi) the Notes to Consolidated Financial Statements</w:t>
      </w:r>
    </w:p>
    <w:p>
      <w:pPr>
        <w:spacing w:after="0" w:line="52" w:lineRule="exact"/>
        <w:rPr>
          <w:rFonts w:ascii="Times New Roman" w:cs="Times New Roman" w:eastAsia="Times New Roman" w:hAnsi="Times New Roman"/>
          <w:sz w:val="16"/>
          <w:szCs w:val="16"/>
          <w:color w:val="auto"/>
        </w:rPr>
      </w:pPr>
    </w:p>
    <w:tbl>
      <w:tblPr>
        <w:tblLayout w:type="fixed"/>
        <w:tblInd w:w="2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Inline XBRL Instance Document</w:t>
            </w:r>
          </w:p>
        </w:tc>
        <w:tc>
          <w:tcPr>
            <w:tcW w:w="2320" w:type="dxa"/>
            <w:vAlign w:val="bottom"/>
            <w:gridSpan w:val="5"/>
          </w:tcPr>
          <w:p>
            <w:pPr>
              <w:spacing w:after="0"/>
              <w:rPr>
                <w:sz w:val="16"/>
                <w:szCs w:val="16"/>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20" w:type="dxa"/>
            <w:vAlign w:val="bottom"/>
            <w:gridSpan w:val="3"/>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3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4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0"/>
        </w:trPr>
        <w:tc>
          <w:tcPr>
            <w:tcW w:w="1120" w:type="dxa"/>
            <w:vAlign w:val="bottom"/>
          </w:tcPr>
          <w:p>
            <w:pPr>
              <w:spacing w:after="0" w:line="20" w:lineRule="exact"/>
              <w:rPr>
                <w:sz w:val="1"/>
                <w:szCs w:val="1"/>
                <w:color w:val="auto"/>
              </w:rPr>
            </w:pPr>
          </w:p>
        </w:tc>
        <w:tc>
          <w:tcPr>
            <w:tcW w:w="3300" w:type="dxa"/>
            <w:vAlign w:val="bottom"/>
            <w:gridSpan w:val="2"/>
            <w:shd w:val="clear" w:color="auto" w:fill="000000"/>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81" w:lineRule="exact"/>
        <w:rPr>
          <w:rFonts w:ascii="Times New Roman" w:cs="Times New Roman" w:eastAsia="Times New Roman" w:hAnsi="Times New Roman"/>
          <w:sz w:val="16"/>
          <w:szCs w:val="16"/>
          <w:color w:val="auto"/>
        </w:rPr>
      </w:pPr>
    </w:p>
    <w:p>
      <w:pPr>
        <w:ind w:left="1140" w:hanging="1114"/>
        <w:spacing w:after="0"/>
        <w:tabs>
          <w:tab w:leader="none" w:pos="11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Cover Page Interactive Data File (formatted in Inline XBRL and contained in Exhibit 101)</w:t>
      </w:r>
    </w:p>
    <w:p>
      <w:pPr>
        <w:spacing w:after="0" w:line="18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Origin Bancorp, Inc.</w:t>
            </w:r>
          </w:p>
        </w:tc>
      </w:tr>
      <w:tr>
        <w:trPr>
          <w:trHeight w:val="391"/>
        </w:trPr>
        <w:tc>
          <w:tcPr>
            <w:tcW w:w="3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35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61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William J. Wallace, IV</w:t>
            </w:r>
          </w:p>
        </w:tc>
      </w:tr>
      <w:tr>
        <w:trPr>
          <w:trHeight w:val="245"/>
        </w:trPr>
        <w:tc>
          <w:tcPr>
            <w:tcW w:w="34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Wallace, IV</w:t>
            </w:r>
          </w:p>
        </w:tc>
        <w:tc>
          <w:tcPr>
            <w:tcW w:w="2040" w:type="dxa"/>
            <w:vAlign w:val="bottom"/>
          </w:tcPr>
          <w:p>
            <w:pPr>
              <w:spacing w:after="0"/>
              <w:rPr>
                <w:sz w:val="21"/>
                <w:szCs w:val="21"/>
                <w:color w:val="auto"/>
              </w:rPr>
            </w:pPr>
          </w:p>
        </w:tc>
      </w:tr>
      <w:tr>
        <w:trPr>
          <w:trHeight w:val="234"/>
        </w:trPr>
        <w:tc>
          <w:tcPr>
            <w:tcW w:w="3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Senior Executive Officer and Chief Financial Officer</w:t>
            </w:r>
          </w:p>
        </w:tc>
      </w:tr>
    </w:tbl>
    <w:p>
      <w:pPr>
        <w:sectPr>
          <w:pgSz w:w="11900" w:h="16838" w:orient="portrait"/>
          <w:cols w:equalWidth="0" w:num="1">
            <w:col w:w="11200"/>
          </w:cols>
          <w:pgMar w:left="320" w:top="1332"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of Origin Bancorp, Inc. (Company) on Form S-3ASR (Registration No. 333-291185) and the Registration Statements on Form S-8 (Registration No. 333-226115, 333-255879, 333-266440, and 333-279032) of our report dated February 25, 2026 on our audits of the consolidated financial statements of the Company as of December 31, 2025 and 2024, and for each of the years in the three-year period ended December 31, 2025, which report is included in this annual report on Form 10-K. We also consent to the incorporation by reference of our report dated February 25, 2026 on our audit of the internal control over financial reporting of the Company as of December 31, 2025, which report is included in this annual report on Form 10-K.</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Forvis Mazars,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Little Rock, Arkansas</w:t>
      </w:r>
    </w:p>
    <w:p>
      <w:pPr>
        <w:spacing w:after="0"/>
        <w:rPr>
          <w:sz w:val="20"/>
          <w:szCs w:val="20"/>
          <w:color w:val="auto"/>
        </w:rPr>
      </w:pPr>
      <w:r>
        <w:rPr>
          <w:rFonts w:ascii="Arial" w:cs="Arial" w:eastAsia="Arial" w:hAnsi="Arial"/>
          <w:sz w:val="18"/>
          <w:szCs w:val="18"/>
          <w:b w:val="1"/>
          <w:bCs w:val="1"/>
          <w:color w:val="auto"/>
        </w:rPr>
        <w:t>February 25, 2026</w:t>
      </w:r>
    </w:p>
    <w:p>
      <w:pPr>
        <w:sectPr>
          <w:pgSz w:w="11900" w:h="16838" w:orient="portrait"/>
          <w:cols w:equalWidth="0" w:num="1">
            <w:col w:w="11240"/>
          </w:cols>
          <w:pgMar w:left="320" w:top="51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Drake Mills, certify that:</w:t>
      </w:r>
    </w:p>
    <w:p>
      <w:pPr>
        <w:spacing w:after="0" w:line="17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Wallace, IV,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Origin Bancorp,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380" w:hanging="484"/>
        <w:spacing w:after="0" w:line="312" w:lineRule="auto"/>
        <w:tabs>
          <w:tab w:leader="none" w:pos="113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680" w:hanging="484"/>
        <w:spacing w:after="0" w:line="282" w:lineRule="auto"/>
        <w:tabs>
          <w:tab w:leader="none" w:pos="11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360" w:hanging="484"/>
        <w:spacing w:after="0" w:line="282" w:lineRule="auto"/>
        <w:tabs>
          <w:tab w:leader="none" w:pos="11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p>
      <w:pPr>
        <w:sectPr>
          <w:pgSz w:w="11900" w:h="16838" w:orient="portrait"/>
          <w:cols w:equalWidth="0" w:num="1">
            <w:col w:w="11240"/>
          </w:cols>
          <w:pgMar w:left="320" w:top="117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10-K/A of Origin Bancorp, Inc. (the “Company”), for the year ended December 31, 2025, as filed with the Securities and Exchange Commission on the date hereof (the “Report”), I, Drake Mills, Chairman, President and Chief Executive Officer of the Company, certify, pursuant to 18 U.S.C. Section 1350, as adopted pursuant to Section 906 of the Sarbanes-Oxley Act of 2002, that, to my knowledge:</w:t>
      </w:r>
    </w:p>
    <w:p>
      <w:pPr>
        <w:spacing w:after="0" w:line="12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Drake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Drake Mills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FURNISHED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15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10-K/A of Origin Bancorp, Inc. (the “Company”), for the year ended December 31, 2025, as filed with the Securities and Exchange Commission on the date hereof (the “Report”), I, William J. Wallace, IV, Senior Executive Officer and Chief Financial Officer of the Company, certify, pursuant to 18 U.S.C. Section 1350, as adopted pursuant to Section 906 of the Sarbanes-Oxley Act of 2002, that, to my knowledge:</w:t>
      </w:r>
    </w:p>
    <w:p>
      <w:pPr>
        <w:spacing w:after="0" w:line="12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financial statements included in such Report.</w:t>
      </w:r>
    </w:p>
    <w:p>
      <w:pPr>
        <w:spacing w:after="0" w:line="144"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William J. Wallace,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19685</wp:posOffset>
            </wp:positionV>
            <wp:extent cx="3522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J. Wallace, IV</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Executive Officer and Chief Financial Officer</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lvl w:ilvl="1">
      <w:lvlJc w:val="left"/>
      <w:lvlText w:val="(%2)"/>
      <w:numFmt w:val="decimal"/>
      <w:start w:val="1"/>
    </w:lvl>
  </w:abstractNum>
  <w:abstractNum w:abstractNumId="3">
    <w:nsid w:val="515F007C"/>
    <w:multiLevelType w:val="hybridMultilevel"/>
    <w:lvl w:ilvl="0">
      <w:lvlJc w:val="left"/>
      <w:lvlText w:val="%1"/>
      <w:numFmt w:val="decimal"/>
      <w:start w:val="19"/>
    </w:lvl>
  </w:abstractNum>
  <w:abstractNum w:abstractNumId="4">
    <w:nsid w:val="5BD062C2"/>
    <w:multiLevelType w:val="hybridMultilevel"/>
    <w:lvl w:ilvl="0">
      <w:lvlJc w:val="left"/>
      <w:lvlText w:val="%1"/>
      <w:numFmt w:val="decimal"/>
      <w:start w:val="21"/>
    </w:lvl>
  </w:abstractNum>
  <w:abstractNum w:abstractNumId="5">
    <w:nsid w:val="12200854"/>
    <w:multiLevelType w:val="hybridMultilevel"/>
    <w:lvl w:ilvl="0">
      <w:lvlJc w:val="left"/>
      <w:lvlText w:val="%1"/>
      <w:numFmt w:val="decimal"/>
      <w:start w:val="23"/>
    </w:lvl>
  </w:abstractNum>
  <w:abstractNum w:abstractNumId="6">
    <w:nsid w:val="4DB127F8"/>
    <w:multiLevelType w:val="hybridMultilevel"/>
    <w:lvl w:ilvl="0">
      <w:lvlJc w:val="left"/>
      <w:lvlText w:val="%1"/>
      <w:numFmt w:val="decimal"/>
      <w:start w:val="97"/>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49" Type="http://schemas.openxmlformats.org/officeDocument/2006/relationships/image" Target="media/image6.png"/><Relationship Id="rId50" Type="http://schemas.openxmlformats.org/officeDocument/2006/relationships/image" Target="media/image7.png"/><Relationship Id="rId58" Type="http://schemas.openxmlformats.org/officeDocument/2006/relationships/image" Target="media/image8.png"/><Relationship Id="rId59" Type="http://schemas.openxmlformats.org/officeDocument/2006/relationships/image" Target="media/image9.png"/><Relationship Id="rId60" Type="http://schemas.openxmlformats.org/officeDocument/2006/relationships/image" Target="media/image10.png"/><Relationship Id="rId61" Type="http://schemas.openxmlformats.org/officeDocument/2006/relationships/image" Target="media/image11.png"/><Relationship Id="rId62" Type="http://schemas.openxmlformats.org/officeDocument/2006/relationships/image" Target="media/image12.png"/><Relationship Id="rId11" Type="http://schemas.openxmlformats.org/officeDocument/2006/relationships/hyperlink" Target="https://www.sec.gov/Archives/edgar/data/1516912/000151691220000041/ex312020articlesofinco.htm" TargetMode="External"/><Relationship Id="rId12" Type="http://schemas.openxmlformats.org/officeDocument/2006/relationships/hyperlink" Target="https://www.sec.gov/Archives/edgar/data/1516912/000151691220000041/ex322020bylaws03302020.htm" TargetMode="External"/><Relationship Id="rId13" Type="http://schemas.openxmlformats.org/officeDocument/2006/relationships/hyperlink" Target="https://www.sec.gov/Archives/edgar/data/1516912/000162828018004147/obnkexhibit41s1.htm" TargetMode="External"/><Relationship Id="rId14" Type="http://schemas.openxmlformats.org/officeDocument/2006/relationships/hyperlink" Target="https://www.sec.gov/Archives/edgar/data/1516912/000151691220000020/exhibit43descriptionof.htm" TargetMode="External"/><Relationship Id="rId15" Type="http://schemas.openxmlformats.org/officeDocument/2006/relationships/hyperlink" Target="https://www.sec.gov/Archives/edgar/data/0001516912/000151691221000036/a3312021obnkexhibit101.htm" TargetMode="External"/><Relationship Id="rId16" Type="http://schemas.openxmlformats.org/officeDocument/2006/relationships/hyperlink" Target="https://www.sec.gov/Archives/edgar/data/1516912/000151691222000131/ex44-bth2012equityincentiv.htm" TargetMode="External"/><Relationship Id="rId17" Type="http://schemas.openxmlformats.org/officeDocument/2006/relationships/hyperlink" Target="https://www.sec.gov/Archives/edgar/data/1516912/000151691222000131/ex45-bthxamendmentto2012eq.htm" TargetMode="External"/><Relationship Id="rId18" Type="http://schemas.openxmlformats.org/officeDocument/2006/relationships/hyperlink" Target="https://www.sec.gov/Archives/edgar/data/1516912/000151691220000020/exhibit105dmillsemploy.htm" TargetMode="External"/><Relationship Id="rId19" Type="http://schemas.openxmlformats.org/officeDocument/2006/relationships/hyperlink" Target="https://www.sec.gov/Archives/edgar/data/1516912/000151691219000042/drakeamendedandrestatedexe.htm" TargetMode="External"/><Relationship Id="rId20" Type="http://schemas.openxmlformats.org/officeDocument/2006/relationships/hyperlink" Target="https://www.sec.gov/Archives/edgar/data/1516912/000162828018004515/obnkexhibit1012s1a1.htm" TargetMode="External"/><Relationship Id="rId21" Type="http://schemas.openxmlformats.org/officeDocument/2006/relationships/hyperlink" Target="https://www.sec.gov/Archives/edgar/data/1516912/000162828018005170/obnkexhibits1013s1a2.htm" TargetMode="External"/><Relationship Id="rId22" Type="http://schemas.openxmlformats.org/officeDocument/2006/relationships/hyperlink" Target="https://www.sec.gov/Archives/edgar/data/1516912/000162828018005170/obnkexhibit1014s1a2.htm" TargetMode="External"/><Relationship Id="rId23" Type="http://schemas.openxmlformats.org/officeDocument/2006/relationships/hyperlink" Target="https://www.sec.gov/Archives/edgar/data/1516912/000151691220000020/exhibit1010dmillssplit.htm" TargetMode="External"/><Relationship Id="rId24" Type="http://schemas.openxmlformats.org/officeDocument/2006/relationships/hyperlink" Target="https://www.sec.gov/Archives/edgar/data/1516912/000151691220000020/exhibit1011lhallemploy.htm" TargetMode="External"/><Relationship Id="rId27" Type="http://schemas.openxmlformats.org/officeDocument/2006/relationships/hyperlink" Target="https://www.sec.gov/Archives/edgar/data/1516912/000162828018004515/obnkexhibit1011s1a1.htm" TargetMode="External"/><Relationship Id="rId28" Type="http://schemas.openxmlformats.org/officeDocument/2006/relationships/hyperlink" Target="https://www.sec.gov/Archives/edgar/data/1516912/000162828018004515/obnkexhibit1015s1a1.htm" TargetMode="External"/><Relationship Id="rId29" Type="http://schemas.openxmlformats.org/officeDocument/2006/relationships/hyperlink" Target="https://www.sec.gov/Archives/edgar/data/1516912/000162828018004515/obnkexhibit1016s1a1.htm" TargetMode="External"/><Relationship Id="rId30" Type="http://schemas.openxmlformats.org/officeDocument/2006/relationships/hyperlink" Target="https://www.sec.gov/Archives/edgar/data/1516912/000162828018004515/obnkexhibit1017s1a1.htm" TargetMode="External"/><Relationship Id="rId31" Type="http://schemas.openxmlformats.org/officeDocument/2006/relationships/hyperlink" Target="https://www.sec.gov/Archives/edgar/data/1516912/000151691219000079/a2019lancehallobserpformnew.htm" TargetMode="External"/><Relationship Id="rId32" Type="http://schemas.openxmlformats.org/officeDocument/2006/relationships/hyperlink" Target="https://www.sec.gov/Archives/edgar/data/1516912/000151691219000079/a2019lancehallobsplitdolla.htm" TargetMode="External"/><Relationship Id="rId33" Type="http://schemas.openxmlformats.org/officeDocument/2006/relationships/hyperlink" Target="https://www.sec.gov/Archives/edgar/data/1516912/000151691218000041/exhibit101originbankbrolly.htm" TargetMode="External"/><Relationship Id="rId34" Type="http://schemas.openxmlformats.org/officeDocument/2006/relationships/hyperlink" Target="https://www.sec.gov/Archives/edgar/data/1516912/000151691218000041/exhibit102originbankbrolly.htm" TargetMode="External"/><Relationship Id="rId35" Type="http://schemas.openxmlformats.org/officeDocument/2006/relationships/hyperlink" Target="https://www.sec.gov/Archives/edgar/data/0001516912/000151691221000019/a12312020obnkexhibit1031.htm" TargetMode="External"/><Relationship Id="rId36" Type="http://schemas.openxmlformats.org/officeDocument/2006/relationships/hyperlink" Target="https://www.sec.gov/Archives/edgar/data/1516912/000151691226000011/a12312025obkex1020jimcicag.htm" TargetMode="External"/><Relationship Id="rId37" Type="http://schemas.openxmlformats.org/officeDocument/2006/relationships/hyperlink" Target="https://www.sec.gov/Archives/edgar/data/1516912/000151691223000013/ex1029psuagreement.htm" TargetMode="External"/><Relationship Id="rId38" Type="http://schemas.openxmlformats.org/officeDocument/2006/relationships/hyperlink" Target="https://www.sec.gov/Archives/edgar/data/1516912/000151691223000013/ex1030rsuagreement.htm" TargetMode="External"/><Relationship Id="rId39" Type="http://schemas.openxmlformats.org/officeDocument/2006/relationships/hyperlink" Target="https://www.sec.gov/Archives/edgar/data/1516912/000151691223000013/ex1031changeincontrolagree.htm" TargetMode="External"/><Relationship Id="rId40" Type="http://schemas.openxmlformats.org/officeDocument/2006/relationships/hyperlink" Target="https://www.sec.gov/Archives/edgar/data/1516912/000151691222000120/ex995cicwallywallace.htm" TargetMode="External"/><Relationship Id="rId41" Type="http://schemas.openxmlformats.org/officeDocument/2006/relationships/hyperlink" Target="https://www.sec.gov/Archives/edgar/data/1516912/000151691222000120/ex994-stevebrollyemploymen.htm" TargetMode="External"/><Relationship Id="rId42" Type="http://schemas.openxmlformats.org/officeDocument/2006/relationships/hyperlink" Target="https://www.sec.gov/Archives/edgar/data/1516912/000151691223000013/ex1035amendmenttoemploymen.htm" TargetMode="External"/><Relationship Id="rId43" Type="http://schemas.openxmlformats.org/officeDocument/2006/relationships/hyperlink" Target="https://www.sec.gov/Archives/edgar/data/1516912/000151691225000064/ex1029-202410xkx01012025xl.htm" TargetMode="External"/><Relationship Id="rId44" Type="http://schemas.openxmlformats.org/officeDocument/2006/relationships/hyperlink" Target="https://www.sec.gov/Archives/edgar/data/1516912/000151691223000013/ex1037originbanknonqualifi.htm" TargetMode="External"/><Relationship Id="rId45" Type="http://schemas.openxmlformats.org/officeDocument/2006/relationships/hyperlink" Target="https://www.sec.gov/Archives/edgar/data/1516912/000151691223000013/ex1038originbanklongterneq.htm" TargetMode="External"/><Relationship Id="rId46" Type="http://schemas.openxmlformats.org/officeDocument/2006/relationships/hyperlink" Target="https://www.sec.gov/Archives/edgar/data/1516912/000151691223000013/ex1039specialone-timeceops.htm" TargetMode="External"/><Relationship Id="rId47" Type="http://schemas.openxmlformats.org/officeDocument/2006/relationships/hyperlink" Target="https://www.sec.gov/Archives/edgar/data/1516912/000151691223000013/ex1040specialone-timeceoaw.htm" TargetMode="External"/><Relationship Id="rId48" Type="http://schemas.openxmlformats.org/officeDocument/2006/relationships/hyperlink" Target="https://www.sec.gov/Archives/edgar/data/1516912/000151691221000028/exhibit101-esppplan.htm" TargetMode="External"/><Relationship Id="rId51" Type="http://schemas.openxmlformats.org/officeDocument/2006/relationships/hyperlink" Target="https://www.sec.gov/ix?doc=/Archives/edgar/data/1516912/000155278124000109/e24063a_obk-def14a.htm" TargetMode="External"/><Relationship Id="rId52" Type="http://schemas.openxmlformats.org/officeDocument/2006/relationships/hyperlink" Target="https://www.sec.gov/Archives/edgar/data/1516912/000151691224000040/ex101formofdirectorrestric.htm" TargetMode="External"/><Relationship Id="rId53" Type="http://schemas.openxmlformats.org/officeDocument/2006/relationships/hyperlink" Target="https://www.sec.gov/Archives/edgar/data/1516912/000151691224000040/ex102formofrsuawardagreeme.htm" TargetMode="External"/><Relationship Id="rId54" Type="http://schemas.openxmlformats.org/officeDocument/2006/relationships/hyperlink" Target="https://www.sec.gov/Archives/edgar/data/1516912/000151691224000040/ex103formofpsuawardagreeme.htm" TargetMode="External"/><Relationship Id="rId55" Type="http://schemas.openxmlformats.org/officeDocument/2006/relationships/hyperlink" Target="https://www.sec.gov/Archives/edgar/data/1516912/000151691225000064/ex19-202410xkxinsidertradi.htm" TargetMode="External"/><Relationship Id="rId56" Type="http://schemas.openxmlformats.org/officeDocument/2006/relationships/hyperlink" Target="https://www.sec.gov/Archives/edgar/data/1516912/000151691226000011/a12312025obkex21subsidiari.htm" TargetMode="External"/><Relationship Id="rId57" Type="http://schemas.openxmlformats.org/officeDocument/2006/relationships/hyperlink" Target="https://www.sec.gov/Archives/edgar/data/1516912/000151691224000027/obkclawbackpolicynyse102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2026-04-30T11:41:23Z</dcterms:created>
  <dcterms:modified xsi:type="dcterms:W3CDTF">2026-04-30T11:41:23Z</dcterms:modified>
</cp:coreProperties>
</file>