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6262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McGee Derek</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SOUTH SERVICE ROAD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Origin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OBK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94"/>
        <w:spacing w:after="0"/>
        <w:rPr>
          <w:sz w:val="20"/>
          <w:szCs w:val="20"/>
          <w:color w:val="auto"/>
        </w:rPr>
      </w:pPr>
      <w:r>
        <w:rPr>
          <w:rFonts w:ascii="Times New Roman" w:cs="Times New Roman" w:eastAsia="Times New Roman" w:hAnsi="Times New Roman"/>
          <w:sz w:val="17"/>
          <w:szCs w:val="17"/>
          <w:color w:val="0000FF"/>
        </w:rPr>
        <w:t>Chief Legal Counsel</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580" w:type="dxa"/>
            <w:vAlign w:val="bottom"/>
            <w:gridSpan w:val="8"/>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400" w:type="dxa"/>
            <w:vAlign w:val="bottom"/>
          </w:tcPr>
          <w:p>
            <w:pPr>
              <w:spacing w:after="0"/>
              <w:rPr>
                <w:sz w:val="3"/>
                <w:szCs w:val="3"/>
                <w:color w:val="auto"/>
              </w:rPr>
            </w:pPr>
          </w:p>
        </w:tc>
        <w:tc>
          <w:tcPr>
            <w:tcW w:w="3360" w:type="dxa"/>
            <w:vAlign w:val="bottom"/>
            <w:gridSpan w:val="7"/>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580" w:type="dxa"/>
            <w:vAlign w:val="bottom"/>
            <w:gridSpan w:val="8"/>
            <w:vMerge w:val="continue"/>
          </w:tcPr>
          <w:p>
            <w:pPr>
              <w:spacing w:after="0"/>
              <w:rPr>
                <w:sz w:val="7"/>
                <w:szCs w:val="7"/>
                <w:color w:val="auto"/>
              </w:rPr>
            </w:pPr>
          </w:p>
        </w:tc>
        <w:tc>
          <w:tcPr>
            <w:tcW w:w="400" w:type="dxa"/>
            <w:vAlign w:val="bottom"/>
          </w:tcPr>
          <w:p>
            <w:pPr>
              <w:spacing w:after="0"/>
              <w:rPr>
                <w:sz w:val="7"/>
                <w:szCs w:val="7"/>
                <w:color w:val="auto"/>
              </w:rPr>
            </w:pPr>
          </w:p>
        </w:tc>
        <w:tc>
          <w:tcPr>
            <w:tcW w:w="33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71270</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3"/>
          </w:tcPr>
          <w:p>
            <w:pPr>
              <w:jc w:val="center"/>
              <w:ind w:left="211"/>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gridSpan w:val="6"/>
          </w:tcPr>
          <w:p>
            <w:pPr>
              <w:ind w:left="3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640" w:type="dxa"/>
            <w:vAlign w:val="bottom"/>
            <w:tcBorders>
              <w:bottom w:val="single" w:sz="8" w:color="2C2C2C"/>
            </w:tcBorders>
            <w:gridSpan w:val="9"/>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400"/>
              <w:spacing w:after="0"/>
              <w:rPr>
                <w:sz w:val="20"/>
                <w:szCs w:val="20"/>
                <w:color w:val="auto"/>
              </w:rPr>
            </w:pPr>
            <w:r>
              <w:rPr>
                <w:rFonts w:ascii="Arial" w:cs="Arial" w:eastAsia="Arial" w:hAnsi="Arial"/>
                <w:sz w:val="12"/>
                <w:szCs w:val="12"/>
                <w:b w:val="1"/>
                <w:bCs w:val="1"/>
                <w:color w:val="auto"/>
                <w:w w:val="95"/>
              </w:rPr>
              <w:t>2. Transaction</w:t>
            </w:r>
          </w:p>
        </w:tc>
        <w:tc>
          <w:tcPr>
            <w:tcW w:w="138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w w:val="95"/>
              </w:rPr>
              <w:t>6. Ownership</w:t>
            </w:r>
          </w:p>
        </w:tc>
        <w:tc>
          <w:tcPr>
            <w:tcW w:w="1440" w:type="dxa"/>
            <w:vAlign w:val="bottom"/>
            <w:gridSpan w:val="4"/>
          </w:tcPr>
          <w:p>
            <w:pPr>
              <w:ind w:left="1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Form: Direct</w:t>
            </w:r>
          </w:p>
        </w:tc>
        <w:tc>
          <w:tcPr>
            <w:tcW w:w="1440" w:type="dxa"/>
            <w:vAlign w:val="bottom"/>
            <w:gridSpan w:val="4"/>
          </w:tcPr>
          <w:p>
            <w:pPr>
              <w:ind w:left="180"/>
              <w:spacing w:after="0" w:line="129"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2380" w:type="dxa"/>
            <w:vAlign w:val="bottom"/>
            <w:gridSpan w:val="5"/>
          </w:tcPr>
          <w:p>
            <w:pPr>
              <w:ind w:left="200"/>
              <w:spacing w:after="0" w:line="130" w:lineRule="exact"/>
              <w:rPr>
                <w:sz w:val="20"/>
                <w:szCs w:val="20"/>
                <w:color w:val="auto"/>
              </w:rPr>
            </w:pPr>
            <w:r>
              <w:rPr>
                <w:rFonts w:ascii="Arial" w:cs="Arial" w:eastAsia="Arial" w:hAnsi="Arial"/>
                <w:sz w:val="12"/>
                <w:szCs w:val="12"/>
                <w:b w:val="1"/>
                <w:bCs w:val="1"/>
                <w:color w:val="auto"/>
              </w:rPr>
              <w:t>(D) or Indirect  Ownership (Instr.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gridSpan w:val="3"/>
          </w:tcPr>
          <w:p>
            <w:pPr>
              <w:ind w:left="3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7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9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40" w:type="dxa"/>
            <w:vAlign w:val="bottom"/>
            <w:gridSpan w:val="3"/>
          </w:tcPr>
          <w:p>
            <w:pPr>
              <w:jc w:val="right"/>
              <w:ind w:right="620"/>
              <w:spacing w:after="0"/>
              <w:rPr>
                <w:sz w:val="20"/>
                <w:szCs w:val="20"/>
                <w:color w:val="auto"/>
              </w:rPr>
            </w:pPr>
            <w:r>
              <w:rPr>
                <w:rFonts w:ascii="Times New Roman" w:cs="Times New Roman" w:eastAsia="Times New Roman" w:hAnsi="Times New Roman"/>
                <w:sz w:val="17"/>
                <w:szCs w:val="17"/>
                <w:color w:val="0000FF"/>
              </w:rPr>
              <w:t>05/20/2026</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0000FF"/>
              </w:rPr>
              <w:t>1,199</w:t>
            </w:r>
          </w:p>
        </w:tc>
        <w:tc>
          <w:tcPr>
            <w:tcW w:w="4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220" w:type="dxa"/>
            <w:vAlign w:val="bottom"/>
          </w:tcPr>
          <w:p>
            <w:pPr>
              <w:spacing w:after="0"/>
              <w:rPr>
                <w:sz w:val="22"/>
                <w:szCs w:val="22"/>
                <w:color w:val="auto"/>
              </w:rPr>
            </w:pPr>
          </w:p>
        </w:tc>
        <w:tc>
          <w:tcPr>
            <w:tcW w:w="400" w:type="dxa"/>
            <w:vAlign w:val="bottom"/>
          </w:tcPr>
          <w:p>
            <w:pPr>
              <w:jc w:val="right"/>
              <w:ind w:right="178"/>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20,301</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20"/>
              <w:spacing w:after="0"/>
              <w:rPr>
                <w:sz w:val="20"/>
                <w:szCs w:val="20"/>
                <w:color w:val="auto"/>
              </w:rPr>
            </w:pPr>
            <w:r>
              <w:rPr>
                <w:rFonts w:ascii="Times New Roman" w:cs="Times New Roman" w:eastAsia="Times New Roman" w:hAnsi="Times New Roman"/>
                <w:sz w:val="17"/>
                <w:szCs w:val="17"/>
                <w:color w:val="0000FF"/>
              </w:rPr>
              <w:t>05/20/2026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256"/>
              <w:spacing w:after="0"/>
              <w:rPr>
                <w:sz w:val="20"/>
                <w:szCs w:val="20"/>
                <w:color w:val="auto"/>
              </w:rPr>
            </w:pPr>
            <w:r>
              <w:rPr>
                <w:rFonts w:ascii="Times New Roman" w:cs="Times New Roman" w:eastAsia="Times New Roman" w:hAnsi="Times New Roman"/>
                <w:sz w:val="17"/>
                <w:szCs w:val="17"/>
                <w:color w:val="0000FF"/>
              </w:rPr>
              <w:t>391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47.38</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19,910</w:t>
            </w:r>
          </w:p>
        </w:tc>
        <w:tc>
          <w:tcPr>
            <w:tcW w:w="940" w:type="dxa"/>
            <w:vAlign w:val="bottom"/>
            <w:tcBorders>
              <w:bottom w:val="single" w:sz="8" w:color="2C2C2C"/>
            </w:tcBorders>
          </w:tcPr>
          <w:p>
            <w:pPr>
              <w:jc w:val="center"/>
              <w:ind w:left="196"/>
              <w:spacing w:after="0"/>
              <w:rPr>
                <w:sz w:val="20"/>
                <w:szCs w:val="20"/>
                <w:color w:val="auto"/>
              </w:rPr>
            </w:pPr>
            <w:r>
              <w:rPr>
                <w:rFonts w:ascii="Times New Roman" w:cs="Times New Roman" w:eastAsia="Times New Roman" w:hAnsi="Times New Roman"/>
                <w:sz w:val="17"/>
                <w:szCs w:val="17"/>
                <w:color w:val="0000FF"/>
                <w:w w:val="97"/>
              </w:rPr>
              <w:t>D</w:t>
            </w: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BY ISSUER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707</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6"/>
                <w:szCs w:val="16"/>
                <w:color w:val="0000FF"/>
                <w:w w:val="74"/>
              </w:rPr>
              <w:t>I</w:t>
            </w: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PLAN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1,467</w:t>
            </w:r>
          </w:p>
        </w:tc>
        <w:tc>
          <w:tcPr>
            <w:tcW w:w="940" w:type="dxa"/>
            <w:vAlign w:val="bottom"/>
          </w:tcPr>
          <w:p>
            <w:pPr>
              <w:jc w:val="center"/>
              <w:ind w:left="196"/>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 IRA</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3640" w:type="dxa"/>
            <w:vAlign w:val="bottom"/>
            <w:tcBorders>
              <w:bottom w:val="single" w:sz="8" w:color="2C2C2C"/>
            </w:tcBorders>
            <w:gridSpan w:val="9"/>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2"/>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60" w:type="dxa"/>
            <w:vAlign w:val="bottom"/>
          </w:tcPr>
          <w:p>
            <w:pPr>
              <w:spacing w:after="0"/>
              <w:rPr>
                <w:sz w:val="11"/>
                <w:szCs w:val="11"/>
                <w:color w:val="auto"/>
              </w:rPr>
            </w:pPr>
          </w:p>
        </w:tc>
        <w:tc>
          <w:tcPr>
            <w:tcW w:w="15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right"/>
              <w:ind w:right="560"/>
              <w:spacing w:after="0" w:line="130" w:lineRule="exact"/>
              <w:rPr>
                <w:sz w:val="20"/>
                <w:szCs w:val="20"/>
                <w:color w:val="auto"/>
              </w:rPr>
            </w:pPr>
            <w:r>
              <w:rPr>
                <w:rFonts w:ascii="Arial" w:cs="Arial" w:eastAsia="Arial" w:hAnsi="Arial"/>
                <w:sz w:val="12"/>
                <w:szCs w:val="12"/>
                <w:b w:val="1"/>
                <w:bCs w:val="1"/>
                <w:color w:val="auto"/>
                <w:w w:val="93"/>
              </w:rPr>
              <w:t>8)</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Disposed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(Instr. 3,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0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1,199</w:t>
            </w:r>
          </w:p>
        </w:tc>
        <w:tc>
          <w:tcPr>
            <w:tcW w:w="760" w:type="dxa"/>
            <w:vAlign w:val="bottom"/>
          </w:tcPr>
          <w:p>
            <w:pPr>
              <w:spacing w:after="0"/>
              <w:rPr>
                <w:sz w:val="15"/>
                <w:szCs w:val="15"/>
                <w:color w:val="auto"/>
              </w:rPr>
            </w:pPr>
          </w:p>
        </w:tc>
        <w:tc>
          <w:tcPr>
            <w:tcW w:w="9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1,198</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00" w:type="dxa"/>
            <w:vAlign w:val="bottom"/>
            <w:gridSpan w:val="3"/>
          </w:tcPr>
          <w:p>
            <w:pPr>
              <w:ind w:left="380"/>
              <w:spacing w:after="0" w:line="143" w:lineRule="exact"/>
              <w:rPr>
                <w:sz w:val="20"/>
                <w:szCs w:val="20"/>
                <w:color w:val="auto"/>
              </w:rPr>
            </w:pPr>
            <w:r>
              <w:rPr>
                <w:rFonts w:ascii="Times New Roman" w:cs="Times New Roman" w:eastAsia="Times New Roman" w:hAnsi="Times New Roman"/>
                <w:sz w:val="13"/>
                <w:szCs w:val="13"/>
                <w:color w:val="0000FF"/>
              </w:rPr>
              <w:t>1,199</w:t>
            </w:r>
          </w:p>
        </w:tc>
        <w:tc>
          <w:tcPr>
            <w:tcW w:w="6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continue"/>
          </w:tcPr>
          <w:p>
            <w:pPr>
              <w:spacing w:after="0"/>
              <w:rPr>
                <w:sz w:val="12"/>
                <w:szCs w:val="12"/>
                <w:color w:val="auto"/>
              </w:rPr>
            </w:pPr>
          </w:p>
        </w:tc>
        <w:tc>
          <w:tcPr>
            <w:tcW w:w="74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gridSpan w:val="2"/>
          </w:tcPr>
          <w:p>
            <w:pPr>
              <w:ind w:left="22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common stock that have been withheld by the issuer to satisfy its income tax withholding and remittance obligations in connection with the net settlement of the restricted stock units and does not represent a sale.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on May 20, 2024, vesting ratably over three years with the first vest date of May 20, 2025.</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Drake Mills, as Attorney-in-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9399" TargetMode="External"/><Relationship Id="rId14" Type="http://schemas.openxmlformats.org/officeDocument/2006/relationships/hyperlink" Target="http://www.sec.gov/cgi-bin/browse-edgar?action=getcompany&amp;CIK=00015169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2026-05-22T14:45:47Z</dcterms:created>
  <dcterms:modified xsi:type="dcterms:W3CDTF">2026-05-22T14:45:47Z</dcterms:modified>
</cp:coreProperties>
</file>