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FORM 8-K </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September 15, 2026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ORIGIN BANCORP,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9292" w:type="dxa"/>
        <w:jc w:val="center"/>
        <w:tblInd w:w="0" w:type="dxa"/>
        <w:tblLayout w:type="fixed"/>
        <w:tblCellMar>
          <w:top w:w="28" w:type="dxa"/>
          <w:left w:w="28" w:type="dxa"/>
          <w:bottom w:w="28" w:type="dxa"/>
          <w:right w:w="28" w:type="dxa"/>
        </w:tblCellMar>
      </w:tblPr>
      <w:tblGrid>
        <w:gridCol w:w="1328"/>
        <w:gridCol w:w="1170"/>
        <w:gridCol w:w="1176"/>
        <w:gridCol w:w="109"/>
        <w:gridCol w:w="109"/>
        <w:gridCol w:w="109"/>
        <w:gridCol w:w="643"/>
        <w:gridCol w:w="643"/>
        <w:gridCol w:w="649"/>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Louisiana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001-38487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72-1192928</w:t>
            </w:r>
          </w:p>
        </w:tc>
      </w:tr>
      <w:tr>
        <w:trPr/>
        <w:tc>
          <w:tcPr>
            <w:tcW w:w="36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500 South Service Road East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Ruston, Louisiana 71270 </w:t>
      </w:r>
    </w:p>
    <w:tbl>
      <w:tblPr>
        <w:tblW w:w="4920" w:type="dxa"/>
        <w:jc w:val="center"/>
        <w:tblInd w:w="0" w:type="dxa"/>
        <w:tblLayout w:type="fixed"/>
        <w:tblCellMar>
          <w:top w:w="28" w:type="dxa"/>
          <w:left w:w="28" w:type="dxa"/>
          <w:bottom w:w="28" w:type="dxa"/>
          <w:right w:w="28" w:type="dxa"/>
        </w:tblCellMar>
      </w:tblPr>
      <w:tblGrid>
        <w:gridCol w:w="1572"/>
        <w:gridCol w:w="1382"/>
        <w:gridCol w:w="1966"/>
      </w:tblGrid>
      <w:tr>
        <w:trPr/>
        <w:tc>
          <w:tcPr>
            <w:tcW w:w="157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(318) 255-2222 </w:t>
      </w:r>
    </w:p>
    <w:tbl>
      <w:tblPr>
        <w:tblW w:w="4440" w:type="dxa"/>
        <w:jc w:val="center"/>
        <w:tblInd w:w="0" w:type="dxa"/>
        <w:tblLayout w:type="fixed"/>
        <w:tblCellMar>
          <w:top w:w="28" w:type="dxa"/>
          <w:left w:w="28" w:type="dxa"/>
          <w:bottom w:w="28" w:type="dxa"/>
          <w:right w:w="28" w:type="dxa"/>
        </w:tblCellMar>
      </w:tblPr>
      <w:tblGrid>
        <w:gridCol w:w="1422"/>
        <w:gridCol w:w="1247"/>
        <w:gridCol w:w="1771"/>
      </w:tblGrid>
      <w:tr>
        <w:trPr/>
        <w:tc>
          <w:tcPr>
            <w:tcW w:w="142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tbl>
      <w:tblPr>
        <w:tblW w:w="5025" w:type="dxa"/>
        <w:jc w:val="center"/>
        <w:tblInd w:w="0" w:type="dxa"/>
        <w:tblLayout w:type="fixed"/>
        <w:tblCellMar>
          <w:top w:w="28" w:type="dxa"/>
          <w:left w:w="28" w:type="dxa"/>
          <w:bottom w:w="28" w:type="dxa"/>
          <w:right w:w="28" w:type="dxa"/>
        </w:tblCellMar>
      </w:tblPr>
      <w:tblGrid>
        <w:gridCol w:w="1608"/>
        <w:gridCol w:w="1415"/>
        <w:gridCol w:w="2002"/>
      </w:tblGrid>
      <w:tr>
        <w:trPr/>
        <w:tc>
          <w:tcPr>
            <w:tcW w:w="16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0" w:after="283"/>
        <w:jc w:val="left"/>
        <w:rPr>
          <w:rFonts w:ascii="Times New Roman;serif" w:hAnsi="Times New Roman;serif"/>
          <w:b w:val="false"/>
          <w:color w:val="231F20"/>
          <w:sz w:val="20"/>
        </w:rPr>
      </w:pPr>
      <w:r>
        <w:rPr>
          <w:rFonts w:ascii="Times New Roman;serif" w:hAnsi="Times New Roman;serif"/>
          <w:b w:val="false"/>
          <w:color w:val="231F20"/>
          <w:sz w:val="20"/>
        </w:rPr>
        <w:t>Check the appropriate box below if the Form 8-K filing is intended to simultaneously satisfy the filing obligation of the registrant under any of the following provisions:</w:t>
      </w:r>
    </w:p>
    <w:p>
      <w:pPr>
        <w:pStyle w:val="TextBody"/>
        <w:bidi w:val="0"/>
        <w:spacing w:lineRule="auto" w:line="288" w:before="110" w:after="283"/>
        <w:jc w:val="left"/>
        <w:rPr/>
      </w:pPr>
      <w:r>
        <w:rPr>
          <w:color w:val="000000"/>
        </w:rPr>
        <w:t>☐</w:t>
      </w:r>
      <w:r>
        <w:rPr>
          <w:color w:val="231F20"/>
        </w:rPr>
        <w:t>    </w:t>
      </w:r>
      <w:r>
        <w:rPr>
          <w:rFonts w:ascii="Times New Roman;serif" w:hAnsi="Times New Roman;serif"/>
          <w:b w:val="false"/>
          <w:color w:val="231F20"/>
          <w:sz w:val="20"/>
        </w:rPr>
        <w:t>Written communications pursuant to Rule 425 under the Securities Act (17 CFR 230.425)</w:t>
      </w:r>
    </w:p>
    <w:p>
      <w:pPr>
        <w:pStyle w:val="TextBody"/>
        <w:bidi w:val="0"/>
        <w:spacing w:lineRule="auto" w:line="288" w:before="110" w:after="283"/>
        <w:jc w:val="left"/>
        <w:rPr/>
      </w:pPr>
      <w:r>
        <w:rPr>
          <w:color w:val="231F20"/>
        </w:rPr>
        <w:t>☐    </w:t>
      </w:r>
      <w:r>
        <w:rPr>
          <w:rFonts w:ascii="Times New Roman;serif" w:hAnsi="Times New Roman;serif"/>
          <w:b w:val="false"/>
          <w:color w:val="231F20"/>
          <w:sz w:val="20"/>
        </w:rPr>
        <w:t>Soliciting material pursuant to Rule 14a-12 under the Exchange Act (17 CFR 240.14a-12)</w:t>
      </w:r>
    </w:p>
    <w:p>
      <w:pPr>
        <w:pStyle w:val="TextBody"/>
        <w:bidi w:val="0"/>
        <w:spacing w:lineRule="auto" w:line="288" w:before="110" w:after="283"/>
        <w:jc w:val="left"/>
        <w:rPr/>
      </w:pPr>
      <w:r>
        <w:rPr>
          <w:color w:val="231F20"/>
        </w:rPr>
        <w:t>☐    </w:t>
      </w:r>
      <w:r>
        <w:rPr>
          <w:rFonts w:ascii="Times New Roman;serif" w:hAnsi="Times New Roman;serif"/>
          <w:b w:val="false"/>
          <w:color w:val="231F20"/>
          <w:sz w:val="20"/>
        </w:rPr>
        <w:t>Pre-commencement communications pursuant to Rule 14d-2(b) under the Exchange Act (17 CFR 240.14d-2(b))</w:t>
      </w:r>
    </w:p>
    <w:p>
      <w:pPr>
        <w:pStyle w:val="TextBody"/>
        <w:bidi w:val="0"/>
        <w:spacing w:lineRule="auto" w:line="288" w:before="110" w:after="283"/>
        <w:jc w:val="left"/>
        <w:rPr/>
      </w:pPr>
      <w:r>
        <w:rPr>
          <w:color w:val="231F20"/>
        </w:rPr>
        <w:t>☐    </w:t>
      </w:r>
      <w:r>
        <w:rPr>
          <w:rFonts w:ascii="Times New Roman;serif" w:hAnsi="Times New Roman;serif"/>
          <w:b w:val="false"/>
          <w:color w:val="231F20"/>
          <w:sz w:val="20"/>
        </w:rPr>
        <w:t>Pre-commencement communications pursuant to Rule 13e-4(c) under the Exchange Act (17 CFR 240.13e-4(c))</w:t>
      </w:r>
    </w:p>
    <w:p>
      <w:pPr>
        <w:pStyle w:val="TextBody"/>
        <w:bidi w:val="0"/>
        <w:spacing w:before="110" w:after="283"/>
        <w:jc w:val="left"/>
        <w:rPr/>
      </w:pPr>
      <w:r>
        <w:rPr/>
      </w:r>
    </w:p>
    <w:p>
      <w:pPr>
        <w:pStyle w:val="TextBody"/>
        <w:bidi w:val="0"/>
        <w:spacing w:lineRule="auto" w:line="288" w:before="110" w:after="283"/>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667"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$5.00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OBK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tbl>
      <w:tblPr>
        <w:tblW w:w="10205" w:type="dxa"/>
        <w:jc w:val="left"/>
        <w:tblInd w:w="0" w:type="dxa"/>
        <w:tblLayout w:type="fixed"/>
        <w:tblCellMar>
          <w:top w:w="28" w:type="dxa"/>
          <w:left w:w="28" w:type="dxa"/>
          <w:bottom w:w="28" w:type="dxa"/>
          <w:right w:w="28" w:type="dxa"/>
        </w:tblCellMar>
      </w:tblPr>
      <w:tblGrid>
        <w:gridCol w:w="1771"/>
        <w:gridCol w:w="1550"/>
        <w:gridCol w:w="1550"/>
        <w:gridCol w:w="1550"/>
        <w:gridCol w:w="1550"/>
        <w:gridCol w:w="2234"/>
      </w:tblGrid>
      <w:tr>
        <w:trPr/>
        <w:tc>
          <w:tcPr>
            <w:tcW w:w="177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bl>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765"/>
        <w:gridCol w:w="1557"/>
        <w:gridCol w:w="1557"/>
        <w:gridCol w:w="1557"/>
        <w:gridCol w:w="1557"/>
        <w:gridCol w:w="2212"/>
      </w:tblGrid>
      <w:tr>
        <w:trPr/>
        <w:tc>
          <w:tcPr>
            <w:tcW w:w="176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center"/>
        <w:rPr/>
      </w:pPr>
      <w:r>
        <w:rPr/>
      </w:r>
    </w:p>
    <w:p>
      <w:pPr>
        <w:pStyle w:val="TextBody"/>
        <w:bidi w:val="0"/>
        <w:spacing w:before="11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404" w:type="dxa"/>
        <w:jc w:val="left"/>
        <w:tblInd w:w="0" w:type="dxa"/>
        <w:tblLayout w:type="fixed"/>
        <w:tblCellMar>
          <w:top w:w="28" w:type="dxa"/>
          <w:left w:w="28" w:type="dxa"/>
          <w:bottom w:w="28" w:type="dxa"/>
          <w:right w:w="28" w:type="dxa"/>
        </w:tblCellMar>
      </w:tblPr>
      <w:tblGrid>
        <w:gridCol w:w="380"/>
        <w:gridCol w:w="333"/>
        <w:gridCol w:w="336"/>
        <w:gridCol w:w="2448"/>
        <w:gridCol w:w="2448"/>
        <w:gridCol w:w="3459"/>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3459"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3.01</w:t>
            </w:r>
          </w:p>
        </w:tc>
        <w:tc>
          <w:tcPr>
            <w:tcW w:w="8355" w:type="dxa"/>
            <w:gridSpan w:val="3"/>
            <w:tcBorders/>
            <w:tcMar>
              <w:top w:w="0" w:type="dxa"/>
              <w:left w:w="0" w:type="dxa"/>
              <w:bottom w:w="0" w:type="dxa"/>
              <w:right w:w="0" w:type="dxa"/>
            </w:tcMar>
            <w:vAlign w:val="center"/>
          </w:tcPr>
          <w:p>
            <w:pPr>
              <w:pStyle w:val="TableContents"/>
              <w:bidi w:val="0"/>
              <w:spacing w:lineRule="auto" w:line="297" w:before="0" w:after="160"/>
              <w:ind w:left="0" w:right="0" w:hanging="1440"/>
              <w:jc w:val="both"/>
              <w:rPr>
                <w:rFonts w:ascii="Times New Roman;serif" w:hAnsi="Times New Roman;serif"/>
                <w:b/>
                <w:color w:val="000000"/>
                <w:sz w:val="20"/>
              </w:rPr>
            </w:pPr>
            <w:r>
              <w:rPr>
                <w:rFonts w:ascii="Times New Roman;serif" w:hAnsi="Times New Roman;serif"/>
                <w:b/>
                <w:color w:val="000000"/>
                <w:sz w:val="20"/>
              </w:rPr>
              <w:t>Notice of Delisting or Failure to Satisfy a Continued Listing Rule or Standard; Transfer of Listing</w:t>
            </w:r>
          </w:p>
        </w:tc>
      </w:tr>
    </w:tbl>
    <w:p>
      <w:pPr>
        <w:pStyle w:val="TextBody"/>
        <w:bidi w:val="0"/>
        <w:spacing w:lineRule="auto" w:line="297"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15, 2026, Origin Bancorp, Inc. (the “Company”), acting pursuant to authorization from its Board of Directors, provided written notice to the New York Stock Exchange (“NYSE”) of its determination to voluntarily withdraw the principal listing of the Company’s voting common stock, $5.00 par value per share (the “Common Stock”), from NYSE and transfer the listing to the Texas Stock Exchange (“TXSE”). The Company expects that listing and trading of its Common Stock on NYSE will end at market close on October 12, 2026, and that trading will commence on the TXSE at market open on October 13, 2026.</w:t>
      </w:r>
    </w:p>
    <w:p>
      <w:pPr>
        <w:pStyle w:val="TextBody"/>
        <w:bidi w:val="0"/>
        <w:spacing w:lineRule="auto" w:line="297"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Common Stock has been authorized for listing on TXSE, where it will continue to trade under the stock symbol “OBK.”</w:t>
      </w:r>
    </w:p>
    <w:tbl>
      <w:tblPr>
        <w:tblW w:w="3358" w:type="dxa"/>
        <w:jc w:val="left"/>
        <w:tblInd w:w="0" w:type="dxa"/>
        <w:tblLayout w:type="fixed"/>
        <w:tblCellMar>
          <w:top w:w="28" w:type="dxa"/>
          <w:left w:w="28" w:type="dxa"/>
          <w:bottom w:w="28" w:type="dxa"/>
          <w:right w:w="28" w:type="dxa"/>
        </w:tblCellMar>
      </w:tblPr>
      <w:tblGrid>
        <w:gridCol w:w="380"/>
        <w:gridCol w:w="333"/>
        <w:gridCol w:w="336"/>
        <w:gridCol w:w="675"/>
        <w:gridCol w:w="675"/>
        <w:gridCol w:w="959"/>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15, 2026, the Company issued a press release announcing the anticipated transfer of the principal listing of the Common Stock to the TXSE, a copy of which is attached as Exhibit 99.1 to this Form 8-K and is incorporated herein by reference.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provided in General Instruction B.2 to Form 8-K, the information furnished in this Item 7.01 and in Exhibit 99.1 to this Current Report on Form 8-K shall not be deemed “filed” for purposes of Section 18 of the Securities Exchange Act of 1934, as amended (the “Exchange Act”), or otherwise subject to the limitations of that section, and such information shall not be deemed incorporated by reference in any filing under the Securities Act of 1933, as amended, or the Exchange Act, except as shall be expressly set forth by specific reference in such filing.</w:t>
      </w:r>
    </w:p>
    <w:tbl>
      <w:tblPr>
        <w:tblW w:w="10205" w:type="dxa"/>
        <w:jc w:val="left"/>
        <w:tblInd w:w="0" w:type="dxa"/>
        <w:tblLayout w:type="fixed"/>
        <w:tblCellMar>
          <w:top w:w="28" w:type="dxa"/>
          <w:left w:w="28" w:type="dxa"/>
          <w:bottom w:w="28" w:type="dxa"/>
          <w:right w:w="28" w:type="dxa"/>
        </w:tblCellMar>
      </w:tblPr>
      <w:tblGrid>
        <w:gridCol w:w="400"/>
        <w:gridCol w:w="339"/>
        <w:gridCol w:w="342"/>
        <w:gridCol w:w="2670"/>
        <w:gridCol w:w="2670"/>
        <w:gridCol w:w="3784"/>
      </w:tblGrid>
      <w:tr>
        <w:trPr/>
        <w:tc>
          <w:tcPr>
            <w:tcW w:w="40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9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Exhibits. </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9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nysederegistration.htm">
              <w:r>
                <w:rPr>
                  <w:rStyle w:val="InternetLink"/>
                  <w:rFonts w:ascii="Times New Roman;serif" w:hAnsi="Times New Roman;serif"/>
                  <w:b w:val="false"/>
                  <w:color w:val="0000FF"/>
                  <w:sz w:val="20"/>
                  <w:u w:val="single"/>
                </w:rPr>
                <w:t>Press release, dated September 15, 2026, announcing transfer of principal listing of Common Stock to the TXSE from the NYSE.</w:t>
              </w:r>
            </w:hyperlink>
          </w:p>
        </w:tc>
      </w:tr>
    </w:tbl>
    <w:tbl>
      <w:tblPr>
        <w:tblW w:w="2981" w:type="dxa"/>
        <w:jc w:val="left"/>
        <w:tblInd w:w="0" w:type="dxa"/>
        <w:tblLayout w:type="fixed"/>
        <w:tblCellMar>
          <w:top w:w="28" w:type="dxa"/>
          <w:left w:w="28" w:type="dxa"/>
          <w:bottom w:w="28" w:type="dxa"/>
          <w:right w:w="28" w:type="dxa"/>
        </w:tblCellMar>
      </w:tblPr>
      <w:tblGrid>
        <w:gridCol w:w="945"/>
        <w:gridCol w:w="831"/>
        <w:gridCol w:w="833"/>
        <w:gridCol w:w="109"/>
        <w:gridCol w:w="109"/>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54"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7" w:before="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When used in filings by the Company with the Securities and Exchange Commission (the “SEC”), in the Company's press releases or other public or stockholder communications, and in oral statements made with the approval of an authorized executive officer, the words or phrases “anticipates,” “believes,” “estimates,” “expects,” “foresees,” “intends,” “plans,” “projects,” and similar expressions or future or conditional verbs such as “could,” “may,” “might,” “should,” “will,” and “would” or variations of such terms are intended to identify “forward-looking statements” within the meaning of the Private Securities Litigation Reform Act of 1995. Such statements are subject to certain risks and uncertainties that could cause actual results to differ materially from historical earnings and those presently anticipated or projected as described more fully in the Company’s periodic filings with the SEC.</w:t>
      </w:r>
    </w:p>
    <w:p>
      <w:pPr>
        <w:pStyle w:val="TextBody"/>
        <w:bidi w:val="0"/>
        <w:spacing w:lineRule="auto" w:line="297" w:before="0" w:after="16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Company does not undertake and specifically declines any obligation to update or revise any forward-looking statements to reflect events or circumstances that occur after the date of such statements or to reflect the occurrence of anticipated or unanticipated events.</w:t>
      </w:r>
    </w:p>
    <w:p>
      <w:pPr>
        <w:pStyle w:val="TextBody"/>
        <w:bidi w:val="0"/>
        <w:spacing w:before="0" w:after="18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06" w:type="dxa"/>
        <w:jc w:val="center"/>
        <w:tblInd w:w="0" w:type="dxa"/>
        <w:tblLayout w:type="fixed"/>
        <w:tblCellMar>
          <w:top w:w="28" w:type="dxa"/>
          <w:left w:w="28" w:type="dxa"/>
          <w:bottom w:w="28" w:type="dxa"/>
          <w:right w:w="28" w:type="dxa"/>
        </w:tblCellMar>
      </w:tblPr>
      <w:tblGrid>
        <w:gridCol w:w="864"/>
        <w:gridCol w:w="758"/>
        <w:gridCol w:w="762"/>
        <w:gridCol w:w="109"/>
        <w:gridCol w:w="109"/>
        <w:gridCol w:w="109"/>
        <w:gridCol w:w="1286"/>
        <w:gridCol w:w="1286"/>
        <w:gridCol w:w="1823"/>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Dated: September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ORIGIN BANCORP, INC.</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William J. Wallace, IV </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Wallace, IV</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Executive Officer and Chief Financial Officer</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For Immediate Release</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September 15, 2026</w:t>
      </w:r>
    </w:p>
    <w:p>
      <w:pPr>
        <w:pStyle w:val="TextBody"/>
        <w:bidi w:val="0"/>
        <w:spacing w:before="0" w:after="0"/>
        <w:jc w:val="center"/>
        <w:rPr/>
      </w:pPr>
      <w:r>
        <w:rPr/>
        <w:drawing>
          <wp:inline distT="0" distB="0" distL="0" distR="0">
            <wp:extent cx="5486400" cy="895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486400" cy="8953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BANCORP, INC. TO TRANSFER STOCK EXCHANGE LISTING TO TEXAS STOCK EXCHANGE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Ticker symbol to remain "OBK"</w:t>
      </w:r>
    </w:p>
    <w:p>
      <w:pPr>
        <w:pStyle w:val="TextBody"/>
        <w:bidi w:val="0"/>
        <w:spacing w:before="0" w:after="0"/>
        <w:jc w:val="left"/>
        <w:rPr/>
      </w:pPr>
      <w:r>
        <w:rPr/>
      </w:r>
    </w:p>
    <w:p>
      <w:pPr>
        <w:pStyle w:val="TextBody"/>
        <w:bidi w:val="0"/>
        <w:spacing w:lineRule="auto" w:line="288" w:before="0" w:after="180"/>
        <w:ind w:left="0" w:right="0" w:firstLine="720"/>
        <w:jc w:val="left"/>
        <w:rPr/>
      </w:pPr>
      <w:r>
        <w:rPr>
          <w:rFonts w:ascii="Times New Roman;serif" w:hAnsi="Times New Roman;serif"/>
          <w:b/>
          <w:color w:val="000000"/>
          <w:sz w:val="20"/>
        </w:rPr>
        <w:t>RUSTON, Louisiana (September 15, 2026)</w:t>
      </w:r>
      <w:r>
        <w:rPr>
          <w:color w:val="000000"/>
        </w:rPr>
        <w:t xml:space="preserve"> </w:t>
      </w:r>
      <w:r>
        <w:rPr>
          <w:rFonts w:ascii="Times New Roman;serif" w:hAnsi="Times New Roman;serif"/>
          <w:b w:val="false"/>
          <w:color w:val="000000"/>
          <w:sz w:val="20"/>
        </w:rPr>
        <w:t>- Origin Bancorp, Inc. (NYSE: OBK) ("Origin"), the holding company for Origin Bank, announced today that it will transfer its stock exchange listing from the New York Stock Exchange (“NYSE”) to the Texas Stock Exchange (“TXSE”). Origin expects to begin trading on the TXSE on October 13, 2026, and will continue to trade under its current ticker symbol “OBK”.</w:t>
      </w:r>
    </w:p>
    <w:p>
      <w:pPr>
        <w:pStyle w:val="TextBody"/>
        <w:bidi w:val="0"/>
        <w:spacing w:lineRule="auto" w:line="288" w:before="0" w:after="180"/>
        <w:ind w:left="0" w:right="0" w:firstLine="720"/>
        <w:jc w:val="left"/>
        <w:rPr>
          <w:color w:val="000000"/>
        </w:rPr>
      </w:pPr>
      <w:r>
        <w:rPr>
          <w:color w:val="000000"/>
        </w:rPr>
        <w:t>“</w:t>
      </w:r>
      <w:r>
        <w:rPr>
          <w:rFonts w:ascii="Times New Roman;serif" w:hAnsi="Times New Roman;serif"/>
          <w:b w:val="false"/>
          <w:color w:val="000000"/>
          <w:sz w:val="20"/>
        </w:rPr>
        <w:t>Texas has played a central role in Origin’s growth story, and our decision to transfer trading to the Texas Stock Exchange reflects the long-term opportunity we see across the state’s diverse markets, including Dallas, Houston and East Texas,” said Drake Mills, chairman, president and CEO of Origin Bancorp, Inc. “As a company with deep roots in Louisiana and a growing presence across Texas and the broader region, this transition aligns our listing with one of the country’s most dynamic business centers and supports our continued focus on creating long-term value for stockholders.”</w:t>
      </w:r>
    </w:p>
    <w:p>
      <w:pPr>
        <w:pStyle w:val="TextBody"/>
        <w:bidi w:val="0"/>
        <w:spacing w:lineRule="auto" w:line="288" w:before="0" w:after="180"/>
        <w:ind w:left="0" w:right="0" w:firstLine="720"/>
        <w:jc w:val="left"/>
        <w:rPr>
          <w:color w:val="000000"/>
        </w:rPr>
      </w:pPr>
      <w:r>
        <w:rPr>
          <w:color w:val="000000"/>
        </w:rPr>
        <w:t>“</w:t>
      </w:r>
      <w:r>
        <w:rPr>
          <w:rFonts w:ascii="Times New Roman;serif" w:hAnsi="Times New Roman;serif"/>
          <w:b w:val="false"/>
          <w:color w:val="000000"/>
          <w:sz w:val="20"/>
        </w:rPr>
        <w:t>Origin is a premier regional banking franchise with a strong history of serving customers across Louisiana, Texas and the broader Gulf South,” said James H. Lee, chairman and CEO of the Texas Stock Exchange. “As the only primary listings venue in the Boom Belt, the Texas Stock Exchange is proud to welcome Origin as one of our founding members, and we look forward to supporting its continued growth and value creation for stockholders.”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action is required by stockholders with respect to the transfer of the listing. Origin’s common stock is expected to continue to be listed on the NYSE through market close on October 12,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About Origin Bancorp, Inc.</w:t>
      </w:r>
    </w:p>
    <w:p>
      <w:pPr>
        <w:pStyle w:val="TextBody"/>
        <w:bidi w:val="0"/>
        <w:spacing w:lineRule="auto" w:line="288" w:before="0" w:after="180"/>
        <w:ind w:left="0" w:right="0" w:firstLine="720"/>
        <w:jc w:val="left"/>
        <w:rPr/>
      </w:pPr>
      <w:r>
        <w:rPr>
          <w:rFonts w:ascii="Times New Roman;serif" w:hAnsi="Times New Roman;serif"/>
          <w:b w:val="false"/>
          <w:color w:val="0A0A0A"/>
          <w:sz w:val="20"/>
          <w:shd w:fill="FEFEFE" w:val="clear"/>
        </w:rPr>
        <w:t xml:space="preserve">Origin Bancorp, Inc. is </w:t>
      </w:r>
      <w:r>
        <w:rPr>
          <w:rFonts w:ascii="Times New Roman;serif" w:hAnsi="Times New Roman;serif"/>
          <w:b w:val="false"/>
          <w:color w:val="000000"/>
          <w:sz w:val="20"/>
        </w:rPr>
        <w:t xml:space="preserve">a financial holding company headquartered in Ruston, Louisiana. Origin’s wholly owned bank subsidiary, Origin Bank, was founded in 1912 in Choudrant, Louisiana. Deeply rooted in Origin’s history is a culture committed to providing personalized relationship banking to businesses, municipalities, and personal clients to enrich the lives of the people in the communities it serves. Origin provides a broad range of financial services and currently operates more than 57 locations in Dallas/Fort Worth, East Texas, Houston, North Louisiana, Mississippi, Alabama and the Florida Panhandle. In addition, Origin provides a broad range of insurance agency products and services through its wholly owned insurance agency subsidiary, Forth Insurance, LLC. For more information, visit </w:t>
      </w:r>
      <w:r>
        <w:rPr>
          <w:rFonts w:ascii="Times New Roman;serif" w:hAnsi="Times New Roman;serif"/>
          <w:b w:val="false"/>
          <w:color w:val="000000"/>
          <w:sz w:val="20"/>
          <w:u w:val="single"/>
        </w:rPr>
        <w:t>www.origin.bank</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www.forthinsurance.com</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communication contains “forward-looking statements” within the meaning of and pursuant to the Private Securities Litigation Reform Act of 1995 regarding, among other things, Origin transferring its listing to the TXSE and the expected benefits from and impact of the transfer of the listing. These statements are not historical in nature and may often be identified by the use of words such as “believes,” “projects,” “expects,” “may,” “estimates,” “should,” “plans,” “targets,” “intends” “could,” “would,” “anticipates,” “potential,” “confident,” “optimistic” or the negative thereof, or other variations thereon, or comparable terminology, or by discussions of strategy, objectives, estimates, trends, guidance, expectations and future plans.</w:t>
      </w:r>
    </w:p>
    <w:p>
      <w:pPr>
        <w:pStyle w:val="TextBody"/>
        <w:bidi w:val="0"/>
        <w:spacing w:before="0" w:after="18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forward-looking statements relate to future results and occurrences, they are subject to inherent and various uncertainties, risks, and changes in circumstances that are difficult to predict, may change over time, are based on management’s expectations and assumptions at the time the statements are made and are not guarantees of future results. Numerous risks and other factors, many of which are beyond management’s control, could cause actual results to differ materially from future results expressed or implied by such forward-looking statements. While there can be no assurance that any list of risks is complete, important risks and other factors that could cause actual results to differ materially from those contemplated by forward-looking statements include, but are not limited to, operational, regulatory or technical challenges related to the TXSE-listing; and the risks and factors more fully described in Origin’s most recent Annual Report on Form 10-K, Quarterly Reports on Form 10-Q and other documents and filings with the SEC. The information contained in this communication speaks only as of its date. Except to the extent required by applicable law or regulation, we disclaim any obligation to update such factors or to publicly announce the results of any revisions to any of the forward-looking statements included herein to reflect future events or developments.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Contact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Chris Reigelman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318-497-3177</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chris@origin.bank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Media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Ryan Kilpatrick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318-232-7472</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rkilpatrick@origin.bank</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1582</Words>
  <Characters>8834</Characters>
  <CharactersWithSpaces>10350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