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14" w:lineRule="exact"/>
        <w:rPr>
          <w:sz w:val="24"/>
          <w:szCs w:val="24"/>
          <w:color w:val="auto"/>
        </w:rPr>
      </w:pPr>
    </w:p>
    <w:p>
      <w:pPr>
        <w:ind w:left="220" w:right="2680" w:hanging="212"/>
        <w:spacing w:after="0" w:line="357" w:lineRule="auto"/>
        <w:tabs>
          <w:tab w:leader="none" w:pos="32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b w:val="1"/>
          <w:bCs w:val="1"/>
          <w:color w:val="auto"/>
        </w:rPr>
        <w:t>September 30, 2026</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16" w:lineRule="exact"/>
        <w:rPr>
          <w:sz w:val="24"/>
          <w:szCs w:val="24"/>
          <w:color w:val="auto"/>
        </w:rPr>
      </w:pPr>
    </w:p>
    <w:p>
      <w:pPr>
        <w:ind w:left="220" w:right="2680" w:hanging="212"/>
        <w:spacing w:after="0" w:line="353" w:lineRule="auto"/>
        <w:tabs>
          <w:tab w:leader="none" w:pos="328"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 to __________</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001-38487</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Origin Bancorp, Inc.</w:t>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40"/>
          </w:cols>
          <w:pgMar w:left="320" w:top="810" w:right="339" w:bottom="1440" w:gutter="0" w:footer="0" w:header="0"/>
        </w:sectPr>
      </w:pPr>
    </w:p>
    <w:p>
      <w:pPr>
        <w:spacing w:after="0" w:line="154"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Louisiana</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72-1192928</w:t>
      </w:r>
    </w:p>
    <w:p>
      <w:pPr>
        <w:spacing w:after="0" w:line="44" w:lineRule="exact"/>
        <w:rPr>
          <w:sz w:val="24"/>
          <w:szCs w:val="24"/>
          <w:color w:val="auto"/>
        </w:rPr>
      </w:pPr>
    </w:p>
    <w:p>
      <w:pPr>
        <w:sectPr>
          <w:pgSz w:w="11900" w:h="16838" w:orient="portrait"/>
          <w:cols w:equalWidth="0" w:num="2">
            <w:col w:w="8380" w:space="720"/>
            <w:col w:w="2140"/>
          </w:cols>
          <w:pgMar w:left="320" w:top="810"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ind w:left="70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rPr>
          <w:sz w:val="20"/>
          <w:szCs w:val="20"/>
          <w:color w:val="auto"/>
        </w:rPr>
      </w:pPr>
      <w:r>
        <w:rPr>
          <w:rFonts w:ascii="Times New Roman" w:cs="Times New Roman" w:eastAsia="Times New Roman" w:hAnsi="Times New Roman"/>
          <w:sz w:val="16"/>
          <w:szCs w:val="16"/>
          <w:b w:val="1"/>
          <w:bCs w:val="1"/>
          <w:color w:val="auto"/>
        </w:rPr>
        <w:t>Identification Number)</w:t>
      </w:r>
    </w:p>
    <w:p>
      <w:pPr>
        <w:spacing w:after="0" w:line="66" w:lineRule="exact"/>
        <w:rPr>
          <w:sz w:val="24"/>
          <w:szCs w:val="24"/>
          <w:color w:val="auto"/>
        </w:rPr>
      </w:pPr>
    </w:p>
    <w:p>
      <w:pPr>
        <w:sectPr>
          <w:pgSz w:w="11900" w:h="16838" w:orient="portrait"/>
          <w:cols w:equalWidth="0" w:num="2">
            <w:col w:w="7960" w:space="720"/>
            <w:col w:w="2560"/>
          </w:cols>
          <w:pgMar w:left="320" w:top="81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500 South Service Road East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Ruston, Louisiana 71270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(318) 255-2222</w:t>
      </w:r>
    </w:p>
    <w:p>
      <w:pPr>
        <w:sectPr>
          <w:pgSz w:w="11900" w:h="16838" w:orient="portrait"/>
          <w:cols w:equalWidth="0" w:num="1">
            <w:col w:w="11240"/>
          </w:cols>
          <w:pgMar w:left="320" w:top="810" w:right="339" w:bottom="1440" w:gutter="0" w:footer="0" w:header="0"/>
          <w:type w:val="continuous"/>
        </w:sectPr>
      </w:pPr>
    </w:p>
    <w:p>
      <w:pPr>
        <w:spacing w:after="0" w:line="8"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810" w:right="339" w:bottom="1440" w:gutter="0" w:footer="0" w:header="0"/>
          <w:type w:val="continuous"/>
        </w:sectPr>
      </w:pPr>
    </w:p>
    <w:p>
      <w:pPr>
        <w:spacing w:after="0" w:line="210"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Exchange on which registered</w:t>
      </w:r>
    </w:p>
    <w:p>
      <w:pPr>
        <w:spacing w:after="0" w:line="41" w:lineRule="exact"/>
        <w:rPr>
          <w:sz w:val="24"/>
          <w:szCs w:val="24"/>
          <w:color w:val="auto"/>
        </w:rPr>
      </w:pPr>
    </w:p>
    <w:p>
      <w:pPr>
        <w:sectPr>
          <w:pgSz w:w="11900" w:h="16838" w:orient="portrait"/>
          <w:cols w:equalWidth="0" w:num="3">
            <w:col w:w="4280" w:space="720"/>
            <w:col w:w="2500" w:space="720"/>
            <w:col w:w="3020"/>
          </w:cols>
          <w:pgMar w:left="320" w:top="810" w:right="339" w:bottom="1440" w:gutter="0" w:footer="0" w:header="0"/>
          <w:type w:val="continuous"/>
        </w:sectPr>
      </w:pPr>
    </w:p>
    <w:p>
      <w:pPr>
        <w:spacing w:after="0" w:line="1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Common Stock, par value $5.00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OBK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Texas Stock Exchange</w:t>
      </w:r>
    </w:p>
    <w:p>
      <w:pPr>
        <w:spacing w:after="0" w:line="100" w:lineRule="exact"/>
        <w:rPr>
          <w:sz w:val="24"/>
          <w:szCs w:val="24"/>
          <w:color w:val="auto"/>
        </w:rPr>
      </w:pPr>
    </w:p>
    <w:p>
      <w:pPr>
        <w:sectPr>
          <w:pgSz w:w="11900" w:h="16838" w:orient="portrait"/>
          <w:cols w:equalWidth="0" w:num="3">
            <w:col w:w="4700" w:space="720"/>
            <w:col w:w="2620" w:space="720"/>
            <w:col w:w="2480"/>
          </w:cols>
          <w:pgMar w:left="320" w:top="810" w:right="339" w:bottom="1440" w:gutter="0" w:footer="0" w:header="0"/>
          <w:type w:val="continuous"/>
        </w:sectPr>
      </w:pPr>
    </w:p>
    <w:p>
      <w:pPr>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0"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p>
      <w:pPr>
        <w:ind w:left="260"/>
        <w:spacing w:after="0" w:line="184" w:lineRule="exact"/>
        <w:tabs>
          <w:tab w:leader="none" w:pos="1960" w:val="left"/>
          <w:tab w:leader="none" w:pos="2660" w:val="left"/>
          <w:tab w:leader="none" w:pos="4240" w:val="left"/>
          <w:tab w:leader="none" w:pos="4740" w:val="left"/>
          <w:tab w:leader="none" w:pos="64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 xml:space="preserve">  ☐</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0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55"/>
        </w:trPr>
        <w:tc>
          <w:tcPr>
            <w:tcW w:w="10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08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108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 30,453,334 shares of Common Stock, par value $5.00 per share, were issued and outstanding at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9"/>
        </w:trPr>
        <w:tc>
          <w:tcPr>
            <w:tcW w:w="20" w:type="dxa"/>
            <w:vAlign w:val="bottom"/>
          </w:tcPr>
          <w:p>
            <w:pPr>
              <w:spacing w:after="0"/>
              <w:rPr>
                <w:sz w:val="18"/>
                <w:szCs w:val="18"/>
                <w:color w:val="auto"/>
              </w:rPr>
            </w:pPr>
          </w:p>
        </w:tc>
        <w:tc>
          <w:tcPr>
            <w:tcW w:w="2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PART I - FINANCIAL INFORMATION</w:t>
            </w:r>
          </w:p>
        </w:tc>
        <w:tc>
          <w:tcPr>
            <w:tcW w:w="8120" w:type="dxa"/>
            <w:vAlign w:val="bottom"/>
            <w:gridSpan w:val="10"/>
          </w:tcPr>
          <w:p>
            <w:pPr>
              <w:spacing w:after="0"/>
              <w:rPr>
                <w:sz w:val="18"/>
                <w:szCs w:val="18"/>
                <w:color w:val="auto"/>
              </w:rPr>
            </w:pPr>
          </w:p>
        </w:tc>
        <w:tc>
          <w:tcPr>
            <w:tcW w:w="280" w:type="dxa"/>
            <w:vAlign w:val="bottom"/>
            <w:tcBorders>
              <w:top w:val="single" w:sz="8" w:color="auto"/>
            </w:tcBorders>
            <w:gridSpan w:val="2"/>
          </w:tcPr>
          <w:p>
            <w:pPr>
              <w:spacing w:after="0"/>
              <w:rPr>
                <w:sz w:val="18"/>
                <w:szCs w:val="18"/>
                <w:color w:val="auto"/>
              </w:rPr>
            </w:pPr>
          </w:p>
        </w:tc>
        <w:tc>
          <w:tcPr>
            <w:tcW w:w="80" w:type="dxa"/>
            <w:vAlign w:val="bottom"/>
            <w:tcBorders>
              <w:top w:val="single" w:sz="8" w:color="auto"/>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18"/>
                <w:szCs w:val="18"/>
                <w:color w:val="auto"/>
              </w:rPr>
            </w:pPr>
          </w:p>
        </w:tc>
      </w:tr>
      <w:tr>
        <w:trPr>
          <w:trHeight w:val="304"/>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1. Financial Statements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7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Consolidated Balance Sheets at September 30, 2026 (unaudited), and December 31, 2025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three and nine months ended September 30, 2026 and 2025 (unaudited)</w:t>
            </w:r>
          </w:p>
        </w:tc>
        <w:tc>
          <w:tcPr>
            <w:tcW w:w="3260" w:type="dxa"/>
            <w:vAlign w:val="bottom"/>
            <w:gridSpan w:val="3"/>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three and nine months ended September 30, 2026 and 2025 (unaudited)</w:t>
            </w:r>
          </w:p>
        </w:tc>
        <w:tc>
          <w:tcPr>
            <w:tcW w:w="22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Changes in Shareholders’ Equity for the nine months ended September 30, 2026 and 2025 (unaudited)</w:t>
            </w:r>
          </w:p>
        </w:tc>
        <w:tc>
          <w:tcPr>
            <w:tcW w:w="22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7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nine months ended September 30, 2026 and 2025 (unaudited)</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11</w:t>
            </w: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Condensed Notes to Consolidated Financial Statements</w:t>
            </w:r>
          </w:p>
        </w:tc>
        <w:tc>
          <w:tcPr>
            <w:tcW w:w="364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452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50</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73</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21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2260" w:type="dxa"/>
            <w:vAlign w:val="bottom"/>
            <w:tcBorders>
              <w:top w:val="single" w:sz="8" w:color="0000FF"/>
            </w:tcBorders>
            <w:gridSpan w:val="5"/>
          </w:tcPr>
          <w:p>
            <w:pPr>
              <w:spacing w:after="0"/>
              <w:rPr>
                <w:sz w:val="24"/>
                <w:szCs w:val="24"/>
                <w:color w:val="auto"/>
              </w:rPr>
            </w:pPr>
          </w:p>
        </w:tc>
        <w:tc>
          <w:tcPr>
            <w:tcW w:w="6460" w:type="dxa"/>
            <w:vAlign w:val="bottom"/>
            <w:gridSpan w:val="8"/>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75</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Part II - OTHER INFORMATION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76</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22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Item 1. Legal Proceedings</w:t>
            </w:r>
          </w:p>
        </w:tc>
        <w:tc>
          <w:tcPr>
            <w:tcW w:w="8600" w:type="dxa"/>
            <w:vAlign w:val="bottom"/>
            <w:gridSpan w:val="12"/>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260" w:type="dxa"/>
            <w:vAlign w:val="bottom"/>
            <w:tcBorders>
              <w:top w:val="single" w:sz="8" w:color="0000FF"/>
            </w:tcBorders>
            <w:gridSpan w:val="2"/>
          </w:tcPr>
          <w:p>
            <w:pPr>
              <w:spacing w:after="0"/>
              <w:rPr>
                <w:sz w:val="24"/>
                <w:szCs w:val="24"/>
                <w:color w:val="auto"/>
              </w:rPr>
            </w:pPr>
          </w:p>
        </w:tc>
        <w:tc>
          <w:tcPr>
            <w:tcW w:w="9140" w:type="dxa"/>
            <w:vAlign w:val="bottom"/>
            <w:gridSpan w:val="15"/>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Use of Proceeds and Issuer Purchases of Equity Securities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76</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Item 3. Defaults Upon Senior Securities</w:t>
            </w:r>
          </w:p>
        </w:tc>
        <w:tc>
          <w:tcPr>
            <w:tcW w:w="4300" w:type="dxa"/>
            <w:vAlign w:val="bottom"/>
            <w:tcBorders>
              <w:top w:val="single" w:sz="8" w:color="0000FF"/>
            </w:tcBorders>
            <w:gridSpan w:val="6"/>
          </w:tcPr>
          <w:p>
            <w:pPr>
              <w:spacing w:after="0"/>
              <w:rPr>
                <w:sz w:val="24"/>
                <w:szCs w:val="24"/>
                <w:color w:val="auto"/>
              </w:rPr>
            </w:pPr>
          </w:p>
        </w:tc>
        <w:tc>
          <w:tcPr>
            <w:tcW w:w="394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2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8740" w:type="dxa"/>
            <w:vAlign w:val="bottom"/>
            <w:gridSpan w:val="14"/>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5. Other Information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76</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9160" w:type="dxa"/>
            <w:vAlign w:val="bottom"/>
            <w:gridSpan w:val="16"/>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77</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80" w:type="dxa"/>
            <w:vAlign w:val="bottom"/>
            <w:gridSpan w:val="1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SIGNATURE PAGE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78</w:t>
            </w:r>
          </w:p>
        </w:tc>
        <w:tc>
          <w:tcPr>
            <w:tcW w:w="20" w:type="dxa"/>
            <w:vAlign w:val="bottom"/>
          </w:tcPr>
          <w:p>
            <w:pPr>
              <w:spacing w:after="0"/>
              <w:rPr>
                <w:sz w:val="24"/>
                <w:szCs w:val="24"/>
                <w:color w:val="auto"/>
              </w:rPr>
            </w:pPr>
          </w:p>
        </w:tc>
      </w:tr>
      <w:tr>
        <w:trPr>
          <w:trHeight w:val="1323"/>
        </w:trPr>
        <w:tc>
          <w:tcPr>
            <w:tcW w:w="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Statements preceded by, followed by or that otherwise include the words “anticipates,” “believes,” “estimates,” “expects,” “foresees,” “intends,” “plans,” “projects,” and similar expressions or future or conditional verbs such as “could,” “may,” “might,” “should,” “will,” and “would,” or variations or negatives of such terms are generally forward-looking in nature and not historical facts, although not all forward-looking statements include the foregoing words.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our forward-looking statements are reasonable as of the date made, actual results may prove to be materially different from the results expressed or implied by the forward-looking statements.</w:t>
      </w:r>
    </w:p>
    <w:p>
      <w:pPr>
        <w:spacing w:after="0" w:line="14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08" w:lineRule="exact"/>
        <w:rPr>
          <w:sz w:val="20"/>
          <w:szCs w:val="20"/>
          <w:color w:val="auto"/>
        </w:rPr>
      </w:pPr>
    </w:p>
    <w:p>
      <w:pPr>
        <w:ind w:left="660" w:right="100" w:hanging="328"/>
        <w:spacing w:after="0" w:line="289"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uncertainty or a deterioration in economic conditions or slowdowns in economic growth in the United States generally, and particularly in the market areas in which we operate and in which our loans are concentrated, including the impact of tariffs, declines in home sale volumes and financial stress on borrowers (consumers and businesses) as a result of fluctuating interest rates or an uncertain economic environment;</w:t>
      </w:r>
    </w:p>
    <w:p>
      <w:pPr>
        <w:spacing w:after="0" w:line="103"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technological change, including the Bank’s and its competitors’ adoption of new technology such as artificial intelligence as well as consumer demands relating to new technologies;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cybersecurity threats and/or security breaches and the cost of defending against them and any reputational or other financial risks following such a cybersecurity incident;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fraud or misconduct by internal or external parties which we may not be able to prevent, detect or mitigate;</w:t>
      </w:r>
    </w:p>
    <w:p>
      <w:pPr>
        <w:spacing w:after="0" w:line="171" w:lineRule="exact"/>
        <w:rPr>
          <w:rFonts w:ascii="Times New Roman" w:cs="Times New Roman" w:eastAsia="Times New Roman" w:hAnsi="Times New Roman"/>
          <w:sz w:val="18"/>
          <w:szCs w:val="18"/>
          <w:color w:val="auto"/>
        </w:rPr>
      </w:pPr>
    </w:p>
    <w:p>
      <w:pPr>
        <w:ind w:left="660" w:right="60" w:hanging="328"/>
        <w:spacing w:after="0" w:line="289"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developments in the banking industry highlighted by high-profile bank failures and the impact of such developments on customer confidence, liquidity, and regulatory responses to these developments (including increases in the cost of our deposit insurance assessments and increased regulatory scrutiny), our ability to effectively manage our liquidity risk and any growth plans and the availability of capital and funding;</w:t>
      </w:r>
    </w:p>
    <w:p>
      <w:pPr>
        <w:spacing w:after="0" w:line="103" w:lineRule="exact"/>
        <w:rPr>
          <w:rFonts w:ascii="Times New Roman" w:cs="Times New Roman" w:eastAsia="Times New Roman" w:hAnsi="Times New Roman"/>
          <w:sz w:val="17"/>
          <w:szCs w:val="17"/>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capital and liquidity requirements, including our ability to generate liquidity internally or raise capital on favorable terms, including continued access to the debt and equity capital markets;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and/or volatile interest rates, capital markets and the impact of inflation on our business, financial results, financial projections, models and guidance, as well as the impact on our customers (including the velocity and levels of deposit withdrawals and loan repayments);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may reduce interest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speeds, loan origination and sale volumes, charge-offs and loan loss provisions may vary substantially from period to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business and economic conditions and in the financial services industry, nationally and within our local market areas;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unemployment levels, slowdowns in economic growth and threats of recession;</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income, creditworthiness and confidence, spending and savings that may affect customer bankruptcies, defaults, charge-offs and deposit activity;</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risk associated with the substantial amount of commercial real estate, construction and land development, and commercial loans in our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risks of lending activities, including our ability to estimate credit losses and the allowance for credit losses, as well as the effects of changes in the level of, and trends in, loan delinquencies and write-offs;</w:t>
      </w:r>
    </w:p>
    <w:p>
      <w:pPr>
        <w:spacing w:after="0" w:line="107"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can impact the performance of our loan portfolio, including real estate values and liquidity in our primary market areas, the financial health of our commercial borrowers and the success of construction projects that we finance, including any loans acquired in merger/acquisition transactions;</w:t>
      </w:r>
    </w:p>
    <w:p>
      <w:pPr>
        <w:spacing w:after="0" w:line="12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values and sales volumes of residential and commercial real estate, especially as they relate to the value of collateral supporting our loans;</w:t>
      </w:r>
    </w:p>
    <w:p>
      <w:pPr>
        <w:spacing w:after="0" w:line="10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adverse weather events (including hurricanes), acts of terrorism, an outbreak of hostilities, (including the impacts related to or resulting from Russia’s military action in Ukraine, and the continued unrest in the Middle East, including the imposition of additional sanctions and export controls, as well as the broader impacts to financial markets and the global macroeconomic and geopolitical environments), regional or national protests and civil unrest (including any resulting branch closures or property damage), widespread illness or public health outbreaks or other international or domestic calamities, and other matters beyond our control;</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an effective system of controls and procedures, including internal control over financial and non-financial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our asset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widespread inflation or deflation;</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mergers, acquisitions and divestitures, including our ability to continue to identify acquisition or merger targets and successfully acquire and integrate desirable financial institutions;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collateral securing our loans;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interest rate changes and manage interest rate risk;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framework and quantitative models;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receive dividends from our bank subsidiary and to service debt, pay dividends to our common stockholders, repurchase our shares of common stock and satisfy obligations as they become due;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operation or expansion strategy or our ability to prudently manage our growth and execute our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important deposit customer relationships, our reputation or otherwise avoid liquidity risks;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as we grow and compete for deposits;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associated with our business;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particularly from regional and national institutions, as well as fintech companies, may accelerate due to the current economic environment;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any problem loans, including litigation and other costs;</w:t>
      </w:r>
    </w:p>
    <w:p>
      <w:pPr>
        <w:spacing w:after="0" w:line="171"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damages, penalties, fines and reputational damage resulting from pending or future litigation, regulatory proceedings or enforcement actions;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sustainability strategies and initiatives, the scope and pace of which could alter our reputation and shareholder, associate, customer and third-party affiliations;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utility of our non-GAAP measurements and their underlying assumptions or estimates;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6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as well as tax, trade, monetary and fiscal matters;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changes to the extensive body of accounting rules and best practices, may change the treatment and recognition of critical financial line items and affect our profitability;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government intervention in the U.S. financial system;</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and regulatory requirements, including the Dodd-Frank Wall Street Reform and Consumer Protection Act (the “Dodd-Frank Act”) and others relating to banking, consumer protection, securities and tax matters;</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of the credit rating for U.S. long-term sovereign debt, actions that the U.S. government may take to avoid exceeding the debt ceiling, and uncertainties surrounding the debt ceiling and the federal budget;</w:t>
      </w:r>
    </w:p>
    <w:p>
      <w:pPr>
        <w:spacing w:after="0" w:line="10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regulatory environment may not be conducive to, or may prohibit the consummation of, future mergers and/or business combinations, may increase the length of time and amount of resources required to consummate such transactions, and the potential to reduce anticipated benefits from such mergers or combinations;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involved in the foregoing.</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what we anticipate. In addition, as a result of these and other factors, our past financial performance should not be relied upon as an indication of future performance. Accordingly, you should not place undue reliance on any forward-looking statements. Any forward-looking statement speaks only as of the date on which it is made, and we do not undertake any obligation to publicly update or review any forward-looking statement, whether as a result of new information, future developments or otherwise. New risks and uncertainties emerge from time to time, and it is not possible for us to predict those events or how they may affect us.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73,122</w:t>
            </w:r>
          </w:p>
        </w:tc>
        <w:tc>
          <w:tcPr>
            <w:tcW w:w="0" w:type="dxa"/>
            <w:vAlign w:val="bottom"/>
          </w:tcPr>
          <w:p>
            <w:pPr>
              <w:spacing w:after="0"/>
              <w:rPr>
                <w:sz w:val="1"/>
                <w:szCs w:val="1"/>
                <w:color w:val="auto"/>
              </w:rPr>
            </w:pPr>
          </w:p>
        </w:tc>
      </w:tr>
      <w:tr>
        <w:trPr>
          <w:trHeight w:val="227"/>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Interest-earning deposits in banks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351,095</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424,217</w:t>
            </w:r>
          </w:p>
        </w:tc>
        <w:tc>
          <w:tcPr>
            <w:tcW w:w="0" w:type="dxa"/>
            <w:vAlign w:val="bottom"/>
          </w:tcPr>
          <w:p>
            <w:pPr>
              <w:spacing w:after="0"/>
              <w:rPr>
                <w:sz w:val="1"/>
                <w:szCs w:val="1"/>
                <w:color w:val="auto"/>
              </w:rPr>
            </w:pP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Available for sale</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1,117,176</w:t>
            </w:r>
          </w:p>
        </w:tc>
        <w:tc>
          <w:tcPr>
            <w:tcW w:w="0" w:type="dxa"/>
            <w:vAlign w:val="bottom"/>
          </w:tcPr>
          <w:p>
            <w:pPr>
              <w:spacing w:after="0"/>
              <w:rPr>
                <w:sz w:val="1"/>
                <w:szCs w:val="1"/>
                <w:color w:val="auto"/>
              </w:rPr>
            </w:pPr>
          </w:p>
        </w:tc>
      </w:tr>
      <w:tr>
        <w:trPr>
          <w:trHeight w:val="176"/>
        </w:trPr>
        <w:tc>
          <w:tcPr>
            <w:tcW w:w="73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Held to maturity, net of allowance for credit losses of $34 and $41 at September 30, 2026, and December 31,</w:t>
            </w: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2025, respectively (fair value of $20,097 and $9,607 at September 30, 2026, and December 31, 2025,</w:t>
            </w:r>
          </w:p>
        </w:tc>
        <w:tc>
          <w:tcPr>
            <w:tcW w:w="18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0" w:type="dxa"/>
            <w:vAlign w:val="bottom"/>
          </w:tcPr>
          <w:p>
            <w:pPr>
              <w:spacing w:after="0"/>
              <w:rPr>
                <w:sz w:val="1"/>
                <w:szCs w:val="1"/>
                <w:color w:val="auto"/>
              </w:rPr>
            </w:pPr>
          </w:p>
        </w:tc>
      </w:tr>
      <w:tr>
        <w:trPr>
          <w:trHeight w:val="223"/>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securities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1,145,994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1,133,950</w:t>
            </w: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Non-marketable equity securities held in other financial institutions</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31,069</w:t>
            </w:r>
          </w:p>
        </w:tc>
        <w:tc>
          <w:tcPr>
            <w:tcW w:w="0" w:type="dxa"/>
            <w:vAlign w:val="bottom"/>
          </w:tcPr>
          <w:p>
            <w:pPr>
              <w:spacing w:after="0"/>
              <w:rPr>
                <w:sz w:val="1"/>
                <w:szCs w:val="1"/>
                <w:color w:val="auto"/>
              </w:rPr>
            </w:pP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67,502</w:t>
            </w:r>
          </w:p>
        </w:tc>
        <w:tc>
          <w:tcPr>
            <w:tcW w:w="0" w:type="dxa"/>
            <w:vAlign w:val="bottom"/>
          </w:tcPr>
          <w:p>
            <w:pPr>
              <w:spacing w:after="0"/>
              <w:rPr>
                <w:sz w:val="1"/>
                <w:szCs w:val="1"/>
                <w:color w:val="auto"/>
              </w:rPr>
            </w:pPr>
          </w:p>
        </w:tc>
      </w:tr>
      <w:tr>
        <w:trPr>
          <w:trHeight w:val="23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Loans, net of allowance for credit losses of $98,378 and $96,782 at September 30, 2026, and December 31,</w:t>
            </w:r>
          </w:p>
        </w:tc>
        <w:tc>
          <w:tcPr>
            <w:tcW w:w="18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7,995,794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7,574,135</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respectively</w:t>
            </w:r>
          </w:p>
        </w:tc>
        <w:tc>
          <w:tcPr>
            <w:tcW w:w="1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124,249</w:t>
            </w:r>
          </w:p>
        </w:tc>
        <w:tc>
          <w:tcPr>
            <w:tcW w:w="0" w:type="dxa"/>
            <w:vAlign w:val="bottom"/>
          </w:tcPr>
          <w:p>
            <w:pPr>
              <w:spacing w:after="0"/>
              <w:rPr>
                <w:sz w:val="1"/>
                <w:szCs w:val="1"/>
                <w:color w:val="auto"/>
              </w:rPr>
            </w:pP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surrender value of bank-owned life insurance</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41,726</w:t>
            </w:r>
          </w:p>
        </w:tc>
        <w:tc>
          <w:tcPr>
            <w:tcW w:w="0" w:type="dxa"/>
            <w:vAlign w:val="bottom"/>
          </w:tcPr>
          <w:p>
            <w:pPr>
              <w:spacing w:after="0"/>
              <w:rPr>
                <w:sz w:val="1"/>
                <w:szCs w:val="1"/>
                <w:color w:val="auto"/>
              </w:rPr>
            </w:pPr>
          </w:p>
        </w:tc>
      </w:tr>
      <w:tr>
        <w:trPr>
          <w:trHeight w:val="23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128,679</w:t>
            </w:r>
          </w:p>
        </w:tc>
        <w:tc>
          <w:tcPr>
            <w:tcW w:w="0" w:type="dxa"/>
            <w:vAlign w:val="bottom"/>
          </w:tcPr>
          <w:p>
            <w:pPr>
              <w:spacing w:after="0"/>
              <w:rPr>
                <w:sz w:val="1"/>
                <w:szCs w:val="1"/>
                <w:color w:val="auto"/>
              </w:rPr>
            </w:pP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33,362</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164,801</w:t>
            </w:r>
          </w:p>
        </w:tc>
        <w:tc>
          <w:tcPr>
            <w:tcW w:w="0" w:type="dxa"/>
            <w:vAlign w:val="bottom"/>
          </w:tcPr>
          <w:p>
            <w:pPr>
              <w:spacing w:after="0"/>
              <w:rPr>
                <w:sz w:val="1"/>
                <w:szCs w:val="1"/>
                <w:color w:val="auto"/>
              </w:rPr>
            </w:pPr>
          </w:p>
        </w:tc>
      </w:tr>
      <w:tr>
        <w:trPr>
          <w:trHeight w:val="226"/>
        </w:trPr>
        <w:tc>
          <w:tcPr>
            <w:tcW w:w="73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10,105,114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9,724,722</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2,176,440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1,979,875</w:t>
            </w: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5,727,032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5,497,920</w:t>
            </w:r>
          </w:p>
        </w:tc>
        <w:tc>
          <w:tcPr>
            <w:tcW w:w="0" w:type="dxa"/>
            <w:vAlign w:val="bottom"/>
          </w:tcPr>
          <w:p>
            <w:pPr>
              <w:spacing w:after="0"/>
              <w:rPr>
                <w:sz w:val="1"/>
                <w:szCs w:val="1"/>
                <w:color w:val="auto"/>
              </w:rPr>
            </w:pPr>
          </w:p>
        </w:tc>
      </w:tr>
      <w:tr>
        <w:trPr>
          <w:trHeight w:val="227"/>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769,702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829,452</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8,307,247</w:t>
            </w:r>
          </w:p>
        </w:tc>
        <w:tc>
          <w:tcPr>
            <w:tcW w:w="0" w:type="dxa"/>
            <w:vAlign w:val="bottom"/>
          </w:tcPr>
          <w:p>
            <w:pPr>
              <w:spacing w:after="0"/>
              <w:rPr>
                <w:sz w:val="1"/>
                <w:szCs w:val="1"/>
                <w:color w:val="auto"/>
              </w:rPr>
            </w:pP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Home Loan Bank (“FHLB”) advances, repurchase agreements and other borrowings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indebtedness, net</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16,544</w:t>
            </w:r>
          </w:p>
        </w:tc>
        <w:tc>
          <w:tcPr>
            <w:tcW w:w="0" w:type="dxa"/>
            <w:vAlign w:val="bottom"/>
          </w:tcPr>
          <w:p>
            <w:pPr>
              <w:spacing w:after="0"/>
              <w:rPr>
                <w:sz w:val="1"/>
                <w:szCs w:val="1"/>
                <w:color w:val="auto"/>
              </w:rPr>
            </w:pPr>
          </w:p>
        </w:tc>
      </w:tr>
      <w:tr>
        <w:trPr>
          <w:trHeight w:val="227"/>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135,196</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8,478,037</w:t>
            </w:r>
          </w:p>
        </w:tc>
        <w:tc>
          <w:tcPr>
            <w:tcW w:w="0" w:type="dxa"/>
            <w:vAlign w:val="bottom"/>
          </w:tcPr>
          <w:p>
            <w:pPr>
              <w:spacing w:after="0"/>
              <w:rPr>
                <w:sz w:val="1"/>
                <w:szCs w:val="1"/>
                <w:color w:val="auto"/>
              </w:rPr>
            </w:pPr>
          </w:p>
        </w:tc>
      </w:tr>
      <w:tr>
        <w:trPr>
          <w:trHeight w:val="22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3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Common stock ($5.00 par value; 50,000,000 shares authorized; 30,602,833 and 30,952,428 shares issued and</w:t>
            </w:r>
          </w:p>
        </w:tc>
        <w:tc>
          <w:tcPr>
            <w:tcW w:w="18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September 30, 2026, and December 31, 2025, respectively)</w:t>
            </w:r>
          </w:p>
        </w:tc>
        <w:tc>
          <w:tcPr>
            <w:tcW w:w="1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Additional paid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 capital</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526,652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533,541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612,523</w:t>
            </w:r>
          </w:p>
        </w:tc>
        <w:tc>
          <w:tcPr>
            <w:tcW w:w="0" w:type="dxa"/>
            <w:vAlign w:val="bottom"/>
          </w:tcPr>
          <w:p>
            <w:pPr>
              <w:spacing w:after="0"/>
              <w:rPr>
                <w:sz w:val="1"/>
                <w:szCs w:val="1"/>
                <w:color w:val="auto"/>
              </w:rPr>
            </w:pPr>
          </w:p>
        </w:tc>
      </w:tr>
      <w:tr>
        <w:trPr>
          <w:trHeight w:val="226"/>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(54,141)</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1,246,685</w:t>
            </w:r>
          </w:p>
        </w:tc>
        <w:tc>
          <w:tcPr>
            <w:tcW w:w="0" w:type="dxa"/>
            <w:vAlign w:val="bottom"/>
          </w:tcPr>
          <w:p>
            <w:pPr>
              <w:spacing w:after="0"/>
              <w:rPr>
                <w:sz w:val="1"/>
                <w:szCs w:val="1"/>
                <w:color w:val="auto"/>
              </w:rPr>
            </w:pPr>
          </w:p>
        </w:tc>
      </w:tr>
      <w:tr>
        <w:trPr>
          <w:trHeight w:val="226"/>
        </w:trPr>
        <w:tc>
          <w:tcPr>
            <w:tcW w:w="73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10,105,114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9,724,722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338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9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0"/>
        </w:trPr>
        <w:tc>
          <w:tcPr>
            <w:tcW w:w="4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125,458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120,096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361,476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358,410</w:t>
            </w:r>
          </w:p>
        </w:tc>
        <w:tc>
          <w:tcPr>
            <w:tcW w:w="0" w:type="dxa"/>
            <w:vAlign w:val="bottom"/>
          </w:tcPr>
          <w:p>
            <w:pPr>
              <w:spacing w:after="0"/>
              <w:rPr>
                <w:sz w:val="1"/>
                <w:szCs w:val="1"/>
                <w:color w:val="auto"/>
              </w:rPr>
            </w:pPr>
          </w:p>
        </w:tc>
      </w:tr>
      <w:tr>
        <w:trPr>
          <w:trHeight w:val="227"/>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securities-taxable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24,535</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securities-nontaxable</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0" w:type="dxa"/>
            <w:vAlign w:val="bottom"/>
          </w:tcPr>
          <w:p>
            <w:pPr>
              <w:spacing w:after="0"/>
              <w:rPr>
                <w:sz w:val="1"/>
                <w:szCs w:val="1"/>
                <w:color w:val="auto"/>
              </w:rPr>
            </w:pPr>
          </w:p>
        </w:tc>
      </w:tr>
      <w:tr>
        <w:trPr>
          <w:trHeight w:val="176"/>
        </w:trPr>
        <w:tc>
          <w:tcPr>
            <w:tcW w:w="47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Interest and dividend income on assets held in other financial</w:t>
            </w:r>
          </w:p>
        </w:tc>
        <w:tc>
          <w:tcPr>
            <w:tcW w:w="9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14,284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16,458</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institutions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Total interest and dividend income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403,319</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129,811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152,957</w:t>
            </w:r>
          </w:p>
        </w:tc>
        <w:tc>
          <w:tcPr>
            <w:tcW w:w="0" w:type="dxa"/>
            <w:vAlign w:val="bottom"/>
          </w:tcPr>
          <w:p>
            <w:pPr>
              <w:spacing w:after="0"/>
              <w:rPr>
                <w:sz w:val="1"/>
                <w:szCs w:val="1"/>
                <w:color w:val="auto"/>
              </w:rPr>
            </w:pPr>
          </w:p>
        </w:tc>
      </w:tr>
      <w:tr>
        <w:trPr>
          <w:trHeight w:val="227"/>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FHLB advances and other borrowings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Subordinated indebtedness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0" w:type="dxa"/>
            <w:vAlign w:val="bottom"/>
          </w:tcPr>
          <w:p>
            <w:pPr>
              <w:spacing w:after="0"/>
              <w:rPr>
                <w:sz w:val="1"/>
                <w:szCs w:val="1"/>
                <w:color w:val="auto"/>
              </w:rPr>
            </w:pPr>
          </w:p>
        </w:tc>
      </w:tr>
      <w:tr>
        <w:trPr>
          <w:trHeight w:val="220"/>
        </w:trPr>
        <w:tc>
          <w:tcPr>
            <w:tcW w:w="47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159,020</w:t>
            </w: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244,299</w:t>
            </w:r>
          </w:p>
        </w:tc>
        <w:tc>
          <w:tcPr>
            <w:tcW w:w="0" w:type="dxa"/>
            <w:vAlign w:val="bottom"/>
          </w:tcPr>
          <w:p>
            <w:pPr>
              <w:spacing w:after="0"/>
              <w:rPr>
                <w:sz w:val="1"/>
                <w:szCs w:val="1"/>
                <w:color w:val="auto"/>
              </w:rPr>
            </w:pPr>
          </w:p>
        </w:tc>
      </w:tr>
      <w:tr>
        <w:trPr>
          <w:trHeight w:val="227"/>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43,126</w:t>
            </w: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201,173</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commission and fee income</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21,186</w:t>
            </w:r>
          </w:p>
        </w:tc>
        <w:tc>
          <w:tcPr>
            <w:tcW w:w="0" w:type="dxa"/>
            <w:vAlign w:val="bottom"/>
          </w:tcPr>
          <w:p>
            <w:pPr>
              <w:spacing w:after="0"/>
              <w:rPr>
                <w:sz w:val="1"/>
                <w:szCs w:val="1"/>
                <w:color w:val="auto"/>
              </w:rPr>
            </w:pPr>
          </w:p>
        </w:tc>
      </w:tr>
      <w:tr>
        <w:trPr>
          <w:trHeight w:val="227"/>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fee income</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w:t>
            </w:r>
          </w:p>
        </w:tc>
        <w:tc>
          <w:tcPr>
            <w:tcW w:w="0" w:type="dxa"/>
            <w:vAlign w:val="bottom"/>
          </w:tcPr>
          <w:p>
            <w:pPr>
              <w:spacing w:after="0"/>
              <w:rPr>
                <w:sz w:val="1"/>
                <w:szCs w:val="1"/>
                <w:color w:val="auto"/>
              </w:rPr>
            </w:pPr>
          </w:p>
        </w:tc>
      </w:tr>
      <w:tr>
        <w:trPr>
          <w:trHeight w:val="227"/>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Mortgage banking revenue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Swap fee income</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0" w:type="dxa"/>
            <w:vAlign w:val="bottom"/>
          </w:tcPr>
          <w:p>
            <w:pPr>
              <w:spacing w:after="0"/>
              <w:rPr>
                <w:sz w:val="1"/>
                <w:szCs w:val="1"/>
                <w:color w:val="auto"/>
              </w:rPr>
            </w:pPr>
          </w:p>
        </w:tc>
      </w:tr>
      <w:tr>
        <w:trPr>
          <w:trHeight w:val="226"/>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equity investments</w:t>
            </w:r>
          </w:p>
        </w:tc>
        <w:tc>
          <w:tcPr>
            <w:tcW w:w="9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sales of securities, net</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w:t>
            </w:r>
          </w:p>
        </w:tc>
        <w:tc>
          <w:tcPr>
            <w:tcW w:w="0" w:type="dxa"/>
            <w:vAlign w:val="bottom"/>
          </w:tcPr>
          <w:p>
            <w:pPr>
              <w:spacing w:after="0"/>
              <w:rPr>
                <w:sz w:val="1"/>
                <w:szCs w:val="1"/>
                <w:color w:val="auto"/>
              </w:rPr>
            </w:pPr>
          </w:p>
        </w:tc>
      </w:tr>
      <w:tr>
        <w:trPr>
          <w:trHeight w:val="227"/>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method investment income (loss), net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0" w:type="dxa"/>
            <w:vAlign w:val="bottom"/>
          </w:tcPr>
          <w:p>
            <w:pPr>
              <w:spacing w:after="0"/>
              <w:rPr>
                <w:sz w:val="1"/>
                <w:szCs w:val="1"/>
                <w:color w:val="auto"/>
              </w:rPr>
            </w:pPr>
          </w:p>
        </w:tc>
      </w:tr>
      <w:tr>
        <w:trPr>
          <w:trHeight w:val="220"/>
        </w:trPr>
        <w:tc>
          <w:tcPr>
            <w:tcW w:w="47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43,098</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113,874</w:t>
            </w: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and equipment, net</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22,810</w:t>
            </w:r>
          </w:p>
        </w:tc>
        <w:tc>
          <w:tcPr>
            <w:tcW w:w="0" w:type="dxa"/>
            <w:vAlign w:val="bottom"/>
          </w:tcPr>
          <w:p>
            <w:pPr>
              <w:spacing w:after="0"/>
              <w:rPr>
                <w:sz w:val="1"/>
                <w:szCs w:val="1"/>
                <w:color w:val="auto"/>
              </w:rPr>
            </w:pPr>
          </w:p>
        </w:tc>
      </w:tr>
      <w:tr>
        <w:trPr>
          <w:trHeight w:val="227"/>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Data processing</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 and operations</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9,493</w:t>
            </w:r>
          </w:p>
        </w:tc>
        <w:tc>
          <w:tcPr>
            <w:tcW w:w="0" w:type="dxa"/>
            <w:vAlign w:val="bottom"/>
          </w:tcPr>
          <w:p>
            <w:pPr>
              <w:spacing w:after="0"/>
              <w:rPr>
                <w:sz w:val="1"/>
                <w:szCs w:val="1"/>
                <w:color w:val="auto"/>
              </w:rPr>
            </w:pPr>
          </w:p>
        </w:tc>
      </w:tr>
      <w:tr>
        <w:trPr>
          <w:trHeight w:val="226"/>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w:t>
            </w:r>
          </w:p>
        </w:tc>
        <w:tc>
          <w:tcPr>
            <w:tcW w:w="0" w:type="dxa"/>
            <w:vAlign w:val="bottom"/>
          </w:tcPr>
          <w:p>
            <w:pPr>
              <w:spacing w:after="0"/>
              <w:rPr>
                <w:sz w:val="1"/>
                <w:szCs w:val="1"/>
                <w:color w:val="auto"/>
              </w:rPr>
            </w:pPr>
          </w:p>
        </w:tc>
      </w:tr>
      <w:tr>
        <w:trPr>
          <w:trHeight w:val="227"/>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Electronic banking</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0" w:type="dxa"/>
            <w:vAlign w:val="bottom"/>
          </w:tcPr>
          <w:p>
            <w:pPr>
              <w:spacing w:after="0"/>
              <w:rPr>
                <w:sz w:val="1"/>
                <w:szCs w:val="1"/>
                <w:color w:val="auto"/>
              </w:rPr>
            </w:pPr>
          </w:p>
        </w:tc>
      </w:tr>
      <w:tr>
        <w:trPr>
          <w:trHeight w:val="227"/>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assessments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Loan-related expense</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0" w:type="dxa"/>
            <w:vAlign w:val="bottom"/>
          </w:tcPr>
          <w:p>
            <w:pPr>
              <w:spacing w:after="0"/>
              <w:rPr>
                <w:sz w:val="1"/>
                <w:szCs w:val="1"/>
                <w:color w:val="auto"/>
              </w:rPr>
            </w:pPr>
          </w:p>
        </w:tc>
      </w:tr>
      <w:tr>
        <w:trPr>
          <w:trHeight w:val="227"/>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6,694</w:t>
            </w: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186,079</w:t>
            </w:r>
          </w:p>
        </w:tc>
        <w:tc>
          <w:tcPr>
            <w:tcW w:w="0" w:type="dxa"/>
            <w:vAlign w:val="bottom"/>
          </w:tcPr>
          <w:p>
            <w:pPr>
              <w:spacing w:after="0"/>
              <w:rPr>
                <w:sz w:val="1"/>
                <w:szCs w:val="1"/>
                <w:color w:val="auto"/>
              </w:rPr>
            </w:pP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 expense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58,192</w:t>
            </w: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27,201</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12,511</w:t>
            </w:r>
          </w:p>
        </w:tc>
        <w:tc>
          <w:tcPr>
            <w:tcW w:w="0" w:type="dxa"/>
            <w:vAlign w:val="bottom"/>
          </w:tcPr>
          <w:p>
            <w:pPr>
              <w:spacing w:after="0"/>
              <w:rPr>
                <w:sz w:val="1"/>
                <w:szCs w:val="1"/>
                <w:color w:val="auto"/>
              </w:rPr>
            </w:pPr>
          </w:p>
        </w:tc>
      </w:tr>
      <w:tr>
        <w:trPr>
          <w:trHeight w:val="196"/>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37,778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99,317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45,681</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stock</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stock</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1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9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2"/>
        </w:trPr>
        <w:tc>
          <w:tcPr>
            <w:tcW w:w="67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45,681</w:t>
            </w:r>
          </w:p>
        </w:tc>
      </w:tr>
      <w:tr>
        <w:trPr>
          <w:trHeight w:val="22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Securities available for sale and transferred securities: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6"/>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unrealized holding (losses) gains arising during the period</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42,560</w:t>
            </w:r>
          </w:p>
        </w:tc>
      </w:tr>
      <w:tr>
        <w:trPr>
          <w:trHeight w:val="230"/>
        </w:trPr>
        <w:tc>
          <w:tcPr>
            <w:tcW w:w="6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net loss included in net income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w:t>
            </w:r>
          </w:p>
        </w:tc>
      </w:tr>
      <w:tr>
        <w:trPr>
          <w:trHeight w:val="223"/>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the net unrealized (loss) gain on available for sale investment securities, before tax</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(44,967)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(53,288)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57,008</w:t>
            </w:r>
          </w:p>
        </w:tc>
      </w:tr>
      <w:tr>
        <w:trPr>
          <w:trHeight w:val="230"/>
        </w:trPr>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 realized as a yield adjustment in interest on transferred investment securities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3"/>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the net unrealized (loss) gain on investment securities, before tax</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57,000</w:t>
            </w:r>
          </w:p>
        </w:tc>
      </w:tr>
      <w:tr>
        <w:trPr>
          <w:trHeight w:val="23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expense related to net unrealized (loss) gain arising during the period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11,970</w:t>
            </w:r>
          </w:p>
        </w:tc>
      </w:tr>
      <w:tr>
        <w:trPr>
          <w:trHeight w:val="223"/>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the net unrealized (loss) gain on investment securities, net of tax</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45,030</w:t>
            </w:r>
          </w:p>
        </w:tc>
      </w:tr>
      <w:tr>
        <w:trPr>
          <w:trHeight w:val="233"/>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flow hedges: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7"/>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Reclassification adjustment for net gain included in net income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related to reclassification adjustment on cash flow hedges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23"/>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 in cash flow hedges, net of tax</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44,865</w:t>
            </w:r>
          </w:p>
        </w:tc>
      </w:tr>
      <w:tr>
        <w:trPr>
          <w:trHeight w:val="226"/>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90,546</w:t>
            </w: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3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2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2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31,197,574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557,920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1,145,245</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22,411</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15,618</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1,815</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2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Stock-based compensation shares issued, net of shares</w:t>
            </w:r>
          </w:p>
        </w:tc>
        <w:tc>
          <w:tcPr>
            <w:tcW w:w="1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31,476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1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net of shares withheld</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 common stock ($0.15 per share)</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0" w:type="dxa"/>
            <w:vAlign w:val="bottom"/>
          </w:tcPr>
          <w:p>
            <w:pPr>
              <w:spacing w:after="0"/>
              <w:rPr>
                <w:sz w:val="1"/>
                <w:szCs w:val="1"/>
                <w:color w:val="auto"/>
              </w:rPr>
            </w:pPr>
          </w:p>
        </w:tc>
      </w:tr>
      <w:tr>
        <w:trPr>
          <w:trHeight w:val="18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31,244,006</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156,220</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538,790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575,578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(90,411)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1,180,177</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14,647</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16,850</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2,067</w:t>
            </w:r>
          </w:p>
        </w:tc>
        <w:tc>
          <w:tcPr>
            <w:tcW w:w="0" w:type="dxa"/>
            <w:vAlign w:val="bottom"/>
          </w:tcPr>
          <w:p>
            <w:pPr>
              <w:spacing w:after="0"/>
              <w:rPr>
                <w:sz w:val="1"/>
                <w:szCs w:val="1"/>
                <w:color w:val="auto"/>
              </w:rPr>
            </w:pPr>
          </w:p>
        </w:tc>
      </w:tr>
      <w:tr>
        <w:trPr>
          <w:trHeight w:val="153"/>
        </w:trPr>
        <w:tc>
          <w:tcPr>
            <w:tcW w:w="32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Stock-based compensation shares issued, net of shares</w:t>
            </w:r>
          </w:p>
        </w:tc>
        <w:tc>
          <w:tcPr>
            <w:tcW w:w="1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55,731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net of shares withheld</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employee stock purchase program</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58,568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1,512</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 common stock ($0.15 per share)</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0" w:type="dxa"/>
            <w:vAlign w:val="bottom"/>
          </w:tcPr>
          <w:p>
            <w:pPr>
              <w:spacing w:after="0"/>
              <w:rPr>
                <w:sz w:val="1"/>
                <w:szCs w:val="1"/>
                <w:color w:val="auto"/>
              </w:rPr>
            </w:pPr>
          </w:p>
        </w:tc>
      </w:tr>
      <w:tr>
        <w:trPr>
          <w:trHeight w:val="23"/>
        </w:trPr>
        <w:tc>
          <w:tcPr>
            <w:tcW w:w="32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31,224,718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156,124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537,819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585,387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1,205,769</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8,623</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12,397</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2,268</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2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Stock-based compensation shares issued, net of shares</w:t>
            </w:r>
          </w:p>
        </w:tc>
        <w:tc>
          <w:tcPr>
            <w:tcW w:w="1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6,285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 and forfeited</w:t>
            </w:r>
          </w:p>
        </w:tc>
        <w:tc>
          <w:tcPr>
            <w:tcW w:w="1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net of shares withheld</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 common stock ($0.15 per share)</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(9,510)</w:t>
            </w:r>
          </w:p>
        </w:tc>
        <w:tc>
          <w:tcPr>
            <w:tcW w:w="0" w:type="dxa"/>
            <w:vAlign w:val="bottom"/>
          </w:tcPr>
          <w:p>
            <w:pPr>
              <w:spacing w:after="0"/>
              <w:rPr>
                <w:sz w:val="1"/>
                <w:szCs w:val="1"/>
                <w:color w:val="auto"/>
              </w:rPr>
            </w:pPr>
          </w:p>
        </w:tc>
      </w:tr>
      <w:tr>
        <w:trPr>
          <w:trHeight w:val="23"/>
        </w:trPr>
        <w:tc>
          <w:tcPr>
            <w:tcW w:w="32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30,967,768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154,839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532,975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588,106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(61,164)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1,214,756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 Continued</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3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2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30,952,428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1,246,685</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27,693</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(6,703)</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2,404</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2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Stock-based compensation shares issued, net of shares</w:t>
            </w:r>
          </w:p>
        </w:tc>
        <w:tc>
          <w:tcPr>
            <w:tcW w:w="1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27,215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1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65,319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 common stock ($0.15 per share)</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0" w:type="dxa"/>
            <w:vAlign w:val="bottom"/>
          </w:tcPr>
          <w:p>
            <w:pPr>
              <w:spacing w:after="0"/>
              <w:rPr>
                <w:sz w:val="1"/>
                <w:szCs w:val="1"/>
                <w:color w:val="auto"/>
              </w:rPr>
            </w:pPr>
          </w:p>
        </w:tc>
      </w:tr>
      <w:tr>
        <w:trPr>
          <w:trHeight w:val="23"/>
        </w:trPr>
        <w:tc>
          <w:tcPr>
            <w:tcW w:w="32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30,879,462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532,773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633,949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1,260,275</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33,846</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2,516</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2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Stock-based compensation shares issued, net of shares</w:t>
            </w:r>
          </w:p>
        </w:tc>
        <w:tc>
          <w:tcPr>
            <w:tcW w:w="1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69,737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1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68,057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2,140</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employee stock purchase program</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50,175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 common stock ($0.25 per share)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(7,871)</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(217,034)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0" w:type="dxa"/>
            <w:vAlign w:val="bottom"/>
          </w:tcPr>
          <w:p>
            <w:pPr>
              <w:spacing w:after="0"/>
              <w:rPr>
                <w:sz w:val="1"/>
                <w:szCs w:val="1"/>
                <w:color w:val="auto"/>
              </w:rPr>
            </w:pPr>
          </w:p>
        </w:tc>
      </w:tr>
      <w:tr>
        <w:trPr>
          <w:trHeight w:val="18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1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30,850,397</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154,252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530,959</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656,674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(60,828)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1,281,057</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37,778</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(35,582)</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2,577</w:t>
            </w:r>
          </w:p>
        </w:tc>
        <w:tc>
          <w:tcPr>
            <w:tcW w:w="0" w:type="dxa"/>
            <w:vAlign w:val="bottom"/>
          </w:tcPr>
          <w:p>
            <w:pPr>
              <w:spacing w:after="0"/>
              <w:rPr>
                <w:sz w:val="1"/>
                <w:szCs w:val="1"/>
                <w:color w:val="auto"/>
              </w:rPr>
            </w:pPr>
          </w:p>
        </w:tc>
      </w:tr>
      <w:tr>
        <w:trPr>
          <w:trHeight w:val="153"/>
        </w:trPr>
        <w:tc>
          <w:tcPr>
            <w:tcW w:w="32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Stock-based compensation shares issued, net of shares</w:t>
            </w:r>
          </w:p>
        </w:tc>
        <w:tc>
          <w:tcPr>
            <w:tcW w:w="1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7,355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18,008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 common stock ($0.25 per share)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(7,856)</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(272,927)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(14,794)</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30,602,833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153,014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526,652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680,431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(96,410)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1,263,687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0"/>
        </w:trPr>
        <w:tc>
          <w:tcPr>
            <w:tcW w:w="74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99,317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45,681</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43,126</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13,098</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amortization on securities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net premium/discount on purchased loans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investments in tax credit funds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26"/>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sale of securities, net</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14,448</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 loss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w:t>
            </w:r>
          </w:p>
        </w:tc>
      </w:tr>
      <w:tr>
        <w:trPr>
          <w:trHeight w:val="23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Originations of mortgage loans held for sale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(116,772)</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mortgage loans held for sale</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129,748</w:t>
            </w:r>
          </w:p>
        </w:tc>
      </w:tr>
      <w:tr>
        <w:trPr>
          <w:trHeight w:val="226"/>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mortgage loans held for sale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on disposals of premises and equipment</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the cash surrender value of life insurance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23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Retention Credit received</w:t>
            </w:r>
          </w:p>
        </w:tc>
        <w:tc>
          <w:tcPr>
            <w:tcW w:w="4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equity securities without a readily determinable fair value</w:t>
            </w:r>
          </w:p>
        </w:tc>
        <w:tc>
          <w:tcPr>
            <w:tcW w:w="4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on sales and write-downs of other real estate owned</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operating leases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in other assets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(19,257)</w:t>
            </w:r>
          </w:p>
        </w:tc>
      </w:tr>
      <w:tr>
        <w:trPr>
          <w:trHeight w:val="227"/>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Increase in other liabilities</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5,724</w:t>
            </w:r>
          </w:p>
        </w:tc>
      </w:tr>
      <w:tr>
        <w:trPr>
          <w:trHeight w:val="226"/>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115,492</w:t>
            </w:r>
          </w:p>
        </w:tc>
      </w:tr>
      <w:tr>
        <w:trPr>
          <w:trHeight w:val="20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securities available for sale</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(1,680,953)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(311,893)</w:t>
            </w:r>
          </w:p>
        </w:tc>
      </w:tr>
      <w:tr>
        <w:trPr>
          <w:trHeight w:val="226"/>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and pay downs of securities available for sale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1,597,575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118,704</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and calls of securities available for sale</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232,226</w:t>
            </w:r>
          </w:p>
        </w:tc>
      </w:tr>
      <w:tr>
        <w:trPr>
          <w:trHeight w:val="226"/>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securities held to maturity</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Maturities, pay downs and calls of securities held to maturity</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 downs of securities carried at fair value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Redemption of non-marketable equity securities held in other financial institutions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9,658</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non-marketable equity securities held in other financial institutions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(10,354)</w:t>
            </w:r>
          </w:p>
        </w:tc>
      </w:tr>
      <w:tr>
        <w:trPr>
          <w:trHeight w:val="23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Originations of mortgage warehouse loans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(8,651,752)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(7,451,654)</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pay-offs of mortgage warehouse loans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8,740,855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7,327,767</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loans, excluding mortgage warehouse and loans held for sale</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(521,292)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123,269</w:t>
            </w:r>
          </w:p>
        </w:tc>
      </w:tr>
      <w:tr>
        <w:trPr>
          <w:trHeight w:val="226"/>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other intangibles</w:t>
            </w:r>
          </w:p>
        </w:tc>
        <w:tc>
          <w:tcPr>
            <w:tcW w:w="4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bank-owned life insurance</w:t>
            </w:r>
          </w:p>
        </w:tc>
        <w:tc>
          <w:tcPr>
            <w:tcW w:w="4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Return of capital and other distributions from equity method investments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Return of capital and other distributions from cost method investments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calls on limited partnership investments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3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low-income housing tax credit investments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premises and equipment</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of premises and equipment</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26"/>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Proceeds from sales of other real estate owned</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w:t>
            </w:r>
          </w:p>
        </w:tc>
      </w:tr>
      <w:tr>
        <w:trPr>
          <w:trHeight w:val="223"/>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(518,690)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32,187</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0"/>
        </w:trPr>
        <w:tc>
          <w:tcPr>
            <w:tcW w:w="74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in deposits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365,927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108,710</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FHLB advances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3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short-term FHLB advances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4,260,000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1,365,000</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short-term FHLB advances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(1,365,000)</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Redemption/Repurchase of subordinated indebtedness</w:t>
            </w:r>
          </w:p>
        </w:tc>
        <w:tc>
          <w:tcPr>
            <w:tcW w:w="4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(72,593)</w:t>
            </w:r>
          </w:p>
        </w:tc>
      </w:tr>
      <w:tr>
        <w:trPr>
          <w:trHeight w:val="226"/>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other short-term borrowings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116,724</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other short-term borrowings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(116,724)</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(decrease) increase in securities sold under agreements to repurchase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3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(14,175)</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received from exercise of stock options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repurchased</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(13,892)</w:t>
            </w:r>
          </w:p>
        </w:tc>
      </w:tr>
      <w:tr>
        <w:trPr>
          <w:trHeight w:val="223"/>
        </w:trPr>
        <w:tc>
          <w:tcPr>
            <w:tcW w:w="74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315,294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8,981</w:t>
            </w:r>
          </w:p>
        </w:tc>
      </w:tr>
      <w:tr>
        <w:trPr>
          <w:trHeight w:val="22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156,660</w:t>
            </w:r>
          </w:p>
        </w:tc>
      </w:tr>
      <w:tr>
        <w:trPr>
          <w:trHeight w:val="22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424,217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470,249</w:t>
            </w:r>
          </w:p>
        </w:tc>
      </w:tr>
      <w:tr>
        <w:trPr>
          <w:trHeight w:val="251"/>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626,909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162,372</w:t>
            </w:r>
          </w:p>
        </w:tc>
      </w:tr>
      <w:tr>
        <w:trPr>
          <w:trHeight w:val="227"/>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paid, total</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33,845</w:t>
            </w:r>
          </w:p>
        </w:tc>
      </w:tr>
      <w:tr>
        <w:trPr>
          <w:trHeight w:val="219"/>
        </w:trPr>
        <w:tc>
          <w:tcPr>
            <w:tcW w:w="7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transactions:</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acquired in settlement of loans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26"/>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Transfers from loans held for sale to loans held for investment</w:t>
            </w:r>
          </w:p>
        </w:tc>
        <w:tc>
          <w:tcPr>
            <w:tcW w:w="4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 from non-marketable securities held in other financial institutions to equity method investments</w:t>
            </w:r>
          </w:p>
        </w:tc>
        <w:tc>
          <w:tcPr>
            <w:tcW w:w="4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41,590</w:t>
            </w:r>
          </w:p>
        </w:tc>
      </w:tr>
      <w:tr>
        <w:trPr>
          <w:trHeight w:val="226"/>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Recognition of operating right-of-use assets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w:t>
            </w:r>
          </w:p>
        </w:tc>
      </w:tr>
      <w:tr>
        <w:trPr>
          <w:trHeight w:val="23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operating lease liabilities</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w:t>
            </w:r>
          </w:p>
        </w:tc>
      </w:tr>
      <w:tr>
        <w:trPr>
          <w:trHeight w:val="22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right-of-use assets due to branch closures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71"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Nature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 Bancorp, Inc. (“Company” or ”Origin”) is a financial holding company headquartered in Ruston, Louisiana.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Origin’s wholly owned bank subsidiary, Origin Bank (the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w:t>
      </w:r>
      <w:r>
        <w:rPr>
          <w:rFonts w:ascii="Times New Roman" w:cs="Times New Roman" w:eastAsia="Times New Roman" w:hAnsi="Times New Roman"/>
          <w:sz w:val="18"/>
          <w:szCs w:val="18"/>
          <w:color w:val="0A0A0A"/>
        </w:rPr>
        <w:t>locations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highlight w:val="white"/>
        </w:rPr>
        <w:t>Dallas/Fort Worth, East Texas,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highlight w:val="white"/>
        </w:rPr>
        <w:t xml:space="preserve">Houston, North Louisiana, Mississippi, </w:t>
      </w:r>
      <w:r>
        <w:rPr>
          <w:rFonts w:ascii="Times New Roman" w:cs="Times New Roman" w:eastAsia="Times New Roman" w:hAnsi="Times New Roman"/>
          <w:sz w:val="18"/>
          <w:szCs w:val="18"/>
          <w:color w:val="000000"/>
        </w:rPr>
        <w:t>Alabama and the Florida Panhandle. In addition, Origin provides a broad range of insurance agency products and</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services through its wholly owned insurance agency subsidiary, Forth Insurance, LLC.</w:t>
      </w:r>
    </w:p>
    <w:p>
      <w:pPr>
        <w:spacing w:after="0" w:line="12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Basis of Presentation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consolidated financial statements in this quarterly report on Form 10-Q include the accounts of the Company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entities in which Origin Bancorp, Inc. has a controlling financial interest, including Origin Bank and Forth Insurance, LLC. All significant intercompany balances and transactions have been eliminated in consolidation. The Company’s accounting and financial reporting policies conform, in all material respects, to generally accepted accounting principles in the United States (“U.S. GAAP”) and to general practices within the financial services industry. The Company has evaluated subsequent events for potential recognition and/or disclosure through the date these consolidated financial statements were issued.</w:t>
      </w:r>
    </w:p>
    <w:p>
      <w:pPr>
        <w:spacing w:after="0" w:line="13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 this quarterly report on Form 10-Q have not been audited by an independent registered public accounting firm, excluding the figures as of December 31, 2025, but in the opinion of management, reflect all adjustments (which are of a normal recurring nature) necessary for a fair presentation of the Company’s financial position and results of operations for the periods presented. These consolidated financial statements of the Company have been prepared in accordance with U.S. GAAP and with the rules and regulations of the Securities and Exchange Commission (the “SEC”) for interim financial reporting. Accordingly, they do not include all of the information and notes required by U.S. GAAP for complete financial statements.</w:t>
      </w:r>
    </w:p>
    <w:p>
      <w:pPr>
        <w:spacing w:after="0" w:line="13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notes thereto for the year ended December 31, 2025, included in the Company’s annual report on Form 10-K (“2025 Form 10-K”) filed with the SEC. Operating results for the interim periods disclosed herein are not necessarily indicative of results that may be expected for a full year.</w:t>
      </w:r>
    </w:p>
    <w:p>
      <w:pPr>
        <w:spacing w:after="0" w:line="11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Operating Segments</w:t>
      </w:r>
      <w:r>
        <w:rPr>
          <w:rFonts w:ascii="Times New Roman" w:cs="Times New Roman" w:eastAsia="Times New Roman" w:hAnsi="Times New Roman"/>
          <w:sz w:val="18"/>
          <w:szCs w:val="18"/>
          <w:color w:val="auto"/>
        </w:rPr>
        <w:t>. Operating segments are components of an enterprise about which separate financial information is available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evaluated regularly by the chief operating decision-maker (“CODM”) in deciding how to allocate resources and in assessing performance. The Company’s senior executive management functions as its CODM. The Bank is the only significant subsidiary upon which management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and services, operations are managed, and financial performance is evaluated on a Company-wide basis. Accordingly, all of the community banking services and branch locations are considered by management to be aggregated into one reportable operating segment, community banking.</w:t>
      </w:r>
    </w:p>
    <w:p>
      <w:pPr>
        <w:spacing w:after="0" w:line="130" w:lineRule="exact"/>
        <w:rPr>
          <w:sz w:val="20"/>
          <w:szCs w:val="20"/>
          <w:color w:val="auto"/>
        </w:rPr>
      </w:pPr>
    </w:p>
    <w:p>
      <w:pPr>
        <w:ind w:right="340" w:firstLine="648"/>
        <w:spacing w:after="0" w:line="239" w:lineRule="auto"/>
        <w:rPr>
          <w:sz w:val="20"/>
          <w:szCs w:val="20"/>
          <w:color w:val="auto"/>
        </w:rPr>
      </w:pPr>
      <w:r>
        <w:rPr>
          <w:rFonts w:ascii="Times New Roman" w:cs="Times New Roman" w:eastAsia="Times New Roman" w:hAnsi="Times New Roman"/>
          <w:sz w:val="18"/>
          <w:szCs w:val="18"/>
          <w:color w:val="auto"/>
        </w:rPr>
        <w:t xml:space="preserve">The CODM uses net interest income and net income to evaluate income generated from segment assets (return on average assets) in deciding whether to reinvest profits into the Company, pursue acquisitions or pay out dividends. Net income is used to monitor budget versus actual results. The CODM also uses net income in competitive analysis by benchmarking to the Company’s peers. The competitive analysis along with the monitoring of budgeted versus actual results are used in assessing performance of the segment and in establishing management’s compensation. The Company’s significant expense categories are disclosed on the Company’s </w:t>
      </w:r>
      <w:r>
        <w:rPr>
          <w:rFonts w:ascii="Times New Roman" w:cs="Times New Roman" w:eastAsia="Times New Roman" w:hAnsi="Times New Roman"/>
          <w:sz w:val="18"/>
          <w:szCs w:val="18"/>
          <w:i w:val="1"/>
          <w:iCs w:val="1"/>
          <w:color w:val="auto"/>
        </w:rPr>
        <w:t>Consolidated Statements of Income</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 The preparation of financial statements in conformity with U.S. GAAP requires management to make estimates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assumptions based on available information that affect the amounts reported in the financial statements and disclosures provided, including the accompanying notes, and actual results could differ. Material estimates that are particularly susceptible to change include the allowance for credit losses for loans; fair value measurements of assets and liabilities; and income taxes. Estimates and assumptions are reviewed periodically, and the effects of revisions are reflected in the Company’s consolidated financial statements in the period they are deemed necessary. While management uses its best judgment, actual results could differ from those estimates.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Reclassifications</w:t>
      </w:r>
      <w:r>
        <w:rPr>
          <w:rFonts w:ascii="Times New Roman" w:cs="Times New Roman" w:eastAsia="Times New Roman" w:hAnsi="Times New Roman"/>
          <w:sz w:val="18"/>
          <w:szCs w:val="18"/>
          <w:color w:val="auto"/>
        </w:rPr>
        <w:t>. Certain amounts previously reported have been reclassified to conform to the current presentation. Such reclassifications had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effect on prior year net income or shareholders’ equity.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Recently Adopted Accounting Standards</w:t>
      </w:r>
    </w:p>
    <w:p>
      <w:pPr>
        <w:spacing w:after="0" w:line="160" w:lineRule="exact"/>
        <w:rPr>
          <w:sz w:val="20"/>
          <w:szCs w:val="20"/>
          <w:color w:val="auto"/>
        </w:rPr>
      </w:pPr>
    </w:p>
    <w:p>
      <w:pPr>
        <w:ind w:right="6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ASU No. 2023-07, Segment Reporting (Topic 280): Improvements to Reportable Segment Disclosures </w:t>
      </w:r>
      <w:r>
        <w:rPr>
          <w:rFonts w:ascii="Times New Roman" w:cs="Times New Roman" w:eastAsia="Times New Roman" w:hAnsi="Times New Roman"/>
          <w:sz w:val="17"/>
          <w:szCs w:val="17"/>
          <w:color w:val="auto"/>
        </w:rPr>
        <w:t>— The amendments in this Update improve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reportable segment disclosure requirements, primarily through enhanced disclosures about significant segment expenses. The amendments in this Update:</w:t>
      </w:r>
    </w:p>
    <w:p>
      <w:pPr>
        <w:spacing w:after="0" w:line="69" w:lineRule="exact"/>
        <w:rPr>
          <w:sz w:val="20"/>
          <w:szCs w:val="20"/>
          <w:color w:val="auto"/>
        </w:rPr>
      </w:pPr>
    </w:p>
    <w:p>
      <w:pPr>
        <w:jc w:val="both"/>
        <w:ind w:left="660" w:right="70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provide all annual disclosures about a reportable segment’s profit or loss and assets currently required by Topic 280 in interim periods.</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In other words, in addition to the measure that is most consistent with the measurement principles under generally accepted accounting principles (GAAP), a public entity is not precluded from reporting additional measures of a segment’s profit or loss that are used by the CODM in assessing segment performance and deciding how to allocate resources.</w:t>
      </w:r>
    </w:p>
    <w:p>
      <w:pPr>
        <w:spacing w:after="0" w:line="2"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disclose the title and position of the CODM and an explanation of how the CODM uses the reported measure(s) of segment profit or loss in assessing segment performance and deciding how to allocate resources.</w:t>
      </w:r>
    </w:p>
    <w:p>
      <w:pPr>
        <w:ind w:left="660" w:right="38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that has a single reportable segment provide all the disclosures required by the amendments in this Update and all existing segment disclosures in Topic 280.</w:t>
      </w:r>
    </w:p>
    <w:p>
      <w:pPr>
        <w:spacing w:after="0" w:line="1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ASU was effective for fiscal years beginning after December 15, 2023, and interim periods within fiscal years beginning after December 15, 2024. Retrospective application to all periods presented in the financial statements is required. Implementation of this ASU did not materially impact the Company's financial statements or disclosures.</w:t>
      </w:r>
    </w:p>
    <w:p>
      <w:pPr>
        <w:spacing w:after="0" w:line="1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No. 2023-09, Income Taxes (Topic 740): Improvements to Income Tax Disclosures </w:t>
      </w:r>
      <w:r>
        <w:rPr>
          <w:rFonts w:ascii="Times New Roman" w:cs="Times New Roman" w:eastAsia="Times New Roman" w:hAnsi="Times New Roman"/>
          <w:sz w:val="18"/>
          <w:szCs w:val="18"/>
          <w:color w:val="auto"/>
        </w:rPr>
        <w:t>— The amendments in this Update,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that public business entities (1) disclose specific categories in the rate reconciliation and (2) provide additional information for reconciling items that meet a quantitative threshold. Specifically, public business entities are required to disclose a tabular reconciliation, using both percentages and reporting currency amounts, for specific listed categories. The ASU is effective for fiscal years beginning after December 15, 2024. Implementation of this ASU did not materially impact the Company’s financial statements or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Newly Issued But Not Yet Effective Accounting Standards</w:t>
      </w:r>
    </w:p>
    <w:p>
      <w:pPr>
        <w:spacing w:after="0" w:line="160" w:lineRule="exact"/>
        <w:rPr>
          <w:sz w:val="20"/>
          <w:szCs w:val="20"/>
          <w:color w:val="auto"/>
        </w:rPr>
      </w:pPr>
    </w:p>
    <w:p>
      <w:pPr>
        <w:ind w:right="4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ASU No. 2024-03, Income Statement—Reporting Comprehensive Income—Expense Disaggregation Disclosures (Subtopic 220-40) - Disaggregation of Income Statement Expenses </w:t>
      </w:r>
      <w:r>
        <w:rPr>
          <w:rFonts w:ascii="Times New Roman" w:cs="Times New Roman" w:eastAsia="Times New Roman" w:hAnsi="Times New Roman"/>
          <w:sz w:val="18"/>
          <w:szCs w:val="18"/>
          <w:color w:val="auto"/>
        </w:rPr>
        <w:t>— The amendments in this Update require disclosure, in the notes to financial statements, of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The amendments in this Update require:</w:t>
      </w:r>
    </w:p>
    <w:p>
      <w:pPr>
        <w:spacing w:after="0" w:line="115" w:lineRule="exact"/>
        <w:rPr>
          <w:sz w:val="20"/>
          <w:szCs w:val="20"/>
          <w:color w:val="auto"/>
        </w:rPr>
      </w:pPr>
    </w:p>
    <w:p>
      <w:pPr>
        <w:ind w:left="660" w:right="24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amounts of (a) purchases of inventory, (b) employee compensation, (c) depreciation, (d) intangible asset amortization, and (e) depreciation, depletion, and amortization recognized as part of oil and gas-producing activities;</w:t>
      </w:r>
    </w:p>
    <w:p>
      <w:pPr>
        <w:ind w:left="660" w:right="4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certain amounts that are already required to be disclosed under current generally accepted accounting principles (GAAP) in the same disclosure as the other disaggregation requirements;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 qualitative description of the amounts remaining in relevant expense captions that are not separately disaggregated quantitatively, and</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total amount of selling expenses and, in annual reporting periods, an entity’s definition of selling expenses.</w:t>
      </w:r>
    </w:p>
    <w:p>
      <w:pPr>
        <w:spacing w:after="0" w:line="17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ASU is effective for fiscal years beginning after December 15, 2026, and interim reporting periods beginning after December 15, 2027. The Company is evaluating the impact of this ASU on its consolidated financial statements and disclosures.</w:t>
      </w:r>
    </w:p>
    <w:p>
      <w:pPr>
        <w:spacing w:after="0" w:line="106"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ASU No. 2025-06, Intangibles—Goodwill and Other—Internal-Use Software (Subtopic 350-40) - Targeted Improvements to the Accounting for Internal-Use Software — </w:t>
      </w:r>
      <w:r>
        <w:rPr>
          <w:rFonts w:ascii="Times New Roman" w:cs="Times New Roman" w:eastAsia="Times New Roman" w:hAnsi="Times New Roman"/>
          <w:sz w:val="18"/>
          <w:szCs w:val="18"/>
          <w:color w:val="auto"/>
        </w:rPr>
        <w:t>The amendments in this Update remove all references to prescriptive and sequential software development stages (referred 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stages) throughout Subtopic 350-40. An entity is required to start capitalizing software costs when both of the following occur:</w:t>
      </w:r>
    </w:p>
    <w:p>
      <w:pPr>
        <w:spacing w:after="0" w:line="12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authorized and committed to funding the software project.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project will be completed and the software will be used to perform the function intended.</w:t>
      </w:r>
    </w:p>
    <w:p>
      <w:pPr>
        <w:spacing w:after="0" w:line="15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ASU is effective for fiscal years beginning after December 15, 2027, and interim reporting periods within those annual reporting periods. The Company is evaluating the impact of this ASU on its consolidated financial statements and disclosures.</w:t>
      </w:r>
    </w:p>
    <w:p>
      <w:pPr>
        <w:spacing w:after="0" w:line="106" w:lineRule="exact"/>
        <w:rPr>
          <w:sz w:val="20"/>
          <w:szCs w:val="20"/>
          <w:color w:val="auto"/>
        </w:rPr>
      </w:pPr>
    </w:p>
    <w:p>
      <w:pPr>
        <w:ind w:right="6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No. 2025-08, Financial Instruments—Credit Losses (Topic: 326)—Purchased Loans — </w:t>
      </w:r>
      <w:r>
        <w:rPr>
          <w:rFonts w:ascii="Times New Roman" w:cs="Times New Roman" w:eastAsia="Times New Roman" w:hAnsi="Times New Roman"/>
          <w:sz w:val="18"/>
          <w:szCs w:val="18"/>
          <w:color w:val="auto"/>
        </w:rPr>
        <w:t>The amendments in this Update expand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of acquired financial assets subject to the gross-up approach. Under the guidance, loans (excluding credit cards) acquired without credit deterioration (“non-PCD”) and deemed seasoned, defined below, are purchased seasoned loans and accounted for using the gross-up approach at acquisition.</w:t>
      </w:r>
    </w:p>
    <w:p>
      <w:pPr>
        <w:spacing w:after="0" w:line="128"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All non-PCD loans (excluding credit cards) that are acquired in a business combination are deemed seasoned. Other non-PCD loans (excluding credit cards) are seasoned if they were purchased at least 90 days after origination and the acquirer was not involved in the origination of the loans.</w:t>
      </w:r>
    </w:p>
    <w:p>
      <w:pPr>
        <w:spacing w:after="0" w:line="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ASU is effective for fiscal years beginning after December 15, 2026, and interim reporting periods within those annual reporting periods. The Company has evaluated this ASU and determined that it does not currently have an impact on its consolidated financial statements and disclosures.</w:t>
      </w:r>
    </w:p>
    <w:p>
      <w:pPr>
        <w:spacing w:after="0" w:line="10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No. 2025-09, Derivatives and Hedging (Topic 815)—Hedge Accounting Improvements — </w:t>
      </w:r>
      <w:r>
        <w:rPr>
          <w:rFonts w:ascii="Times New Roman" w:cs="Times New Roman" w:eastAsia="Times New Roman" w:hAnsi="Times New Roman"/>
          <w:sz w:val="18"/>
          <w:szCs w:val="18"/>
          <w:color w:val="auto"/>
        </w:rPr>
        <w:t>The amendments in this Update address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targeted hedge accounting issues, including 1) similar risk assessment for cash flow hedges, 2) hedging forecasted interest payments on Choose-Your-Rate Debt Instruments, 3) cash flow hedges of nonfinancial forecasted transactions, 4) net written options as hedging instruments, and 5) foreign-currency denominated debt instrument as hedging instrument and hedged item.</w:t>
      </w:r>
    </w:p>
    <w:p>
      <w:pPr>
        <w:spacing w:after="0" w:line="12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ASU is effective for fiscal years beginning after December 15, 2026, and interim reporting periods within those annual reporting periods. The Company has evaluated this ASU and determined that it does not currently have an impact on its consolidated financial statements and disclosures.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Basic and diluted earnings per common stock are calculated using the treasury method. Under the treasury method, basic earnings per share is calculated as net income divided by the weighted average number of common stocks outstanding during the period. Diluted earnings per share includes the dilutive effect of additional potential common stocks issuable under the Company’s stock and incentive compensation plans. Information regarding the Company’s basic and diluted earnings per common stock is presented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400" w:type="dxa"/>
            <w:vAlign w:val="bottom"/>
          </w:tcPr>
          <w:p>
            <w:pPr>
              <w:spacing w:after="0"/>
              <w:rPr>
                <w:sz w:val="18"/>
                <w:szCs w:val="18"/>
                <w:color w:val="auto"/>
              </w:rPr>
            </w:pPr>
          </w:p>
        </w:tc>
        <w:tc>
          <w:tcPr>
            <w:tcW w:w="35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8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4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45,681</w:t>
            </w: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common stocks outstanding</w:t>
            </w: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30,769,835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31,183,092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30,853,135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31,193,739</w:t>
            </w:r>
          </w:p>
        </w:tc>
      </w:tr>
      <w:tr>
        <w:trPr>
          <w:trHeight w:val="227"/>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311,846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188,271</w:t>
            </w:r>
          </w:p>
        </w:tc>
      </w:tr>
      <w:tr>
        <w:trPr>
          <w:trHeight w:val="25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common stocks outstanding</w:t>
            </w:r>
          </w:p>
        </w:tc>
        <w:tc>
          <w:tcPr>
            <w:tcW w:w="4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31,081,681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31,363,571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31,172,097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31,382,010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stock</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stock</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bl>
    <w:p>
      <w:pPr>
        <w:spacing w:after="0" w:line="24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There were zero and 19,114 weighted average shares of anti-dilutive stock-based awards excluded from the calculation of earnings per share for the three and nine months ended September 30, 2026, respectively, primarily due to the grant date fair value or purchase price of the stock awards exceeding the average market price of the Company’s stock during the respective periods. There were 38,564 and 100,706 weighted average shares of anti-dilutive stock-based awards excluded from the calculation of earnings per share for the three and nine months ended September 30, 2025, respectively, primarily due to the exercise price, grant date fair value or purchase price of the stock awards exceeding the average market price of the Company’s stock during the respective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Securities</w:t>
      </w:r>
    </w:p>
    <w:p>
      <w:pPr>
        <w:spacing w:after="0" w:line="17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amortized cost and estimated fair value, including the allowance for credit losses and gross unrealized gains and losses, of available for sale, held to maturity and securities carried at fair value through income for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6"/>
                <w:szCs w:val="16"/>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6"/>
                <w:szCs w:val="16"/>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Allowance for</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18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0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278,316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278,316</w:t>
            </w: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49,950</w:t>
            </w:r>
          </w:p>
        </w:tc>
        <w:tc>
          <w:tcPr>
            <w:tcW w:w="0" w:type="dxa"/>
            <w:vAlign w:val="bottom"/>
          </w:tcPr>
          <w:p>
            <w:pPr>
              <w:spacing w:after="0"/>
              <w:rPr>
                <w:sz w:val="1"/>
                <w:szCs w:val="1"/>
                <w:color w:val="auto"/>
              </w:rPr>
            </w:pPr>
          </w:p>
        </w:tc>
      </w:tr>
      <w:tr>
        <w:trPr>
          <w:trHeight w:val="23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and government agency securities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12,451</w:t>
            </w: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27,154</w:t>
            </w: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411,340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411,340</w:t>
            </w: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242,074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242,074</w:t>
            </w:r>
          </w:p>
        </w:tc>
        <w:tc>
          <w:tcPr>
            <w:tcW w:w="0" w:type="dxa"/>
            <w:vAlign w:val="bottom"/>
          </w:tcPr>
          <w:p>
            <w:pPr>
              <w:spacing w:after="0"/>
              <w:rPr>
                <w:sz w:val="1"/>
                <w:szCs w:val="1"/>
                <w:color w:val="auto"/>
              </w:rPr>
            </w:pPr>
          </w:p>
        </w:tc>
      </w:tr>
      <w:tr>
        <w:trPr>
          <w:trHeight w:val="226"/>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1,239,886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(122,984)</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1,117,665</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1,117,665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19,628</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7"/>
              </w:rPr>
              <w:t>(34)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22,009</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26"/>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20,097</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7"/>
              </w:rPr>
              <w:t>(34)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22,493</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carried at fair value through income: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State and municipal securities</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(29,554)</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294,884</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294,884</w:t>
            </w: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55,704</w:t>
            </w: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and government agency securities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0" w:type="dxa"/>
            <w:vAlign w:val="bottom"/>
          </w:tcPr>
          <w:p>
            <w:pPr>
              <w:spacing w:after="0"/>
              <w:rPr>
                <w:sz w:val="1"/>
                <w:szCs w:val="1"/>
                <w:color w:val="auto"/>
              </w:rPr>
            </w:pPr>
          </w:p>
        </w:tc>
      </w:tr>
      <w:tr>
        <w:trPr>
          <w:trHeight w:val="226"/>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454,485</w:t>
            </w: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82,793</w:t>
            </w:r>
          </w:p>
        </w:tc>
        <w:tc>
          <w:tcPr>
            <w:tcW w:w="0" w:type="dxa"/>
            <w:vAlign w:val="bottom"/>
          </w:tcPr>
          <w:p>
            <w:pPr>
              <w:spacing w:after="0"/>
              <w:rPr>
                <w:sz w:val="1"/>
                <w:szCs w:val="1"/>
                <w:color w:val="auto"/>
              </w:rPr>
            </w:pPr>
          </w:p>
        </w:tc>
      </w:tr>
      <w:tr>
        <w:trPr>
          <w:trHeight w:val="226"/>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210,884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210,884</w:t>
            </w:r>
          </w:p>
        </w:tc>
        <w:tc>
          <w:tcPr>
            <w:tcW w:w="0" w:type="dxa"/>
            <w:vAlign w:val="bottom"/>
          </w:tcPr>
          <w:p>
            <w:pPr>
              <w:spacing w:after="0"/>
              <w:rPr>
                <w:sz w:val="1"/>
                <w:szCs w:val="1"/>
                <w:color w:val="auto"/>
              </w:rPr>
            </w:pPr>
          </w:p>
        </w:tc>
      </w:tr>
      <w:tr>
        <w:trPr>
          <w:trHeight w:val="246"/>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1,117,176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1,117,176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7"/>
              </w:rPr>
              <w:t>(41)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carried at fair value through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18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State and municipal securities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2" w:lineRule="exact"/>
        <w:rPr>
          <w:sz w:val="20"/>
          <w:szCs w:val="20"/>
          <w:color w:val="auto"/>
        </w:rPr>
      </w:pPr>
    </w:p>
    <w:p>
      <w:pPr>
        <w:ind w:left="340" w:right="220" w:hanging="332"/>
        <w:spacing w:after="0" w:line="302" w:lineRule="auto"/>
        <w:tabs>
          <w:tab w:leader="none" w:pos="327"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Securities carried at fair value through income have no unrealized gains or losses at the consolidated balance sheet dates as all changes in value have been recognized in the consolidated statements of income. See </w:t>
      </w:r>
      <w:r>
        <w:rPr>
          <w:rFonts w:ascii="Times New Roman" w:cs="Times New Roman" w:eastAsia="Times New Roman" w:hAnsi="Times New Roman"/>
          <w:sz w:val="14"/>
          <w:szCs w:val="14"/>
          <w:i w:val="1"/>
          <w:iCs w:val="1"/>
          <w:color w:val="auto"/>
        </w:rPr>
        <w:t>Note 5 — Fair Value of Financial Instruments</w:t>
      </w:r>
      <w:r>
        <w:rPr>
          <w:rFonts w:ascii="Times New Roman" w:cs="Times New Roman" w:eastAsia="Times New Roman" w:hAnsi="Times New Roman"/>
          <w:sz w:val="14"/>
          <w:szCs w:val="14"/>
          <w:color w:val="auto"/>
        </w:rPr>
        <w:t xml:space="preserve"> for more information.</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Securities with unrealized losses at September 30, 2026, and December 31, 2025, aggregated by investment category and those individual securities that have been in a continuous unrealized loss position for less than 12 months, and for 12 months or more,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78"/>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6"/>
                <w:szCs w:val="6"/>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4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(48,071)</w:t>
            </w:r>
          </w:p>
        </w:tc>
        <w:tc>
          <w:tcPr>
            <w:tcW w:w="0" w:type="dxa"/>
            <w:vAlign w:val="bottom"/>
          </w:tcPr>
          <w:p>
            <w:pPr>
              <w:spacing w:after="0"/>
              <w:rPr>
                <w:sz w:val="1"/>
                <w:szCs w:val="1"/>
                <w:color w:val="auto"/>
              </w:rPr>
            </w:pPr>
          </w:p>
        </w:tc>
      </w:tr>
      <w:tr>
        <w:trPr>
          <w:trHeight w:val="22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0" w:type="dxa"/>
            <w:vAlign w:val="bottom"/>
          </w:tcPr>
          <w:p>
            <w:pPr>
              <w:spacing w:after="0"/>
              <w:rPr>
                <w:sz w:val="1"/>
                <w:szCs w:val="1"/>
                <w:color w:val="auto"/>
              </w:rPr>
            </w:pPr>
          </w:p>
        </w:tc>
      </w:tr>
      <w:tr>
        <w:trPr>
          <w:trHeight w:val="23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and government agency securities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2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0" w:type="dxa"/>
            <w:vAlign w:val="bottom"/>
          </w:tcPr>
          <w:p>
            <w:pPr>
              <w:spacing w:after="0"/>
              <w:rPr>
                <w:sz w:val="1"/>
                <w:szCs w:val="1"/>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(44,942)</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(20,453)</w:t>
            </w:r>
          </w:p>
        </w:tc>
        <w:tc>
          <w:tcPr>
            <w:tcW w:w="0" w:type="dxa"/>
            <w:vAlign w:val="bottom"/>
          </w:tcPr>
          <w:p>
            <w:pPr>
              <w:spacing w:after="0"/>
              <w:rPr>
                <w:sz w:val="1"/>
                <w:szCs w:val="1"/>
                <w:color w:val="auto"/>
              </w:rPr>
            </w:pPr>
          </w:p>
        </w:tc>
      </w:tr>
      <w:tr>
        <w:trPr>
          <w:trHeight w:val="226"/>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560,233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524,069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1,084,302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(122,984)</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6"/>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(29,554)</w:t>
            </w:r>
          </w:p>
        </w:tc>
        <w:tc>
          <w:tcPr>
            <w:tcW w:w="0" w:type="dxa"/>
            <w:vAlign w:val="bottom"/>
          </w:tcPr>
          <w:p>
            <w:pPr>
              <w:spacing w:after="0"/>
              <w:rPr>
                <w:sz w:val="1"/>
                <w:szCs w:val="1"/>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and government agency securities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(28,929)</w:t>
            </w:r>
          </w:p>
        </w:tc>
        <w:tc>
          <w:tcPr>
            <w:tcW w:w="0" w:type="dxa"/>
            <w:vAlign w:val="bottom"/>
          </w:tcPr>
          <w:p>
            <w:pPr>
              <w:spacing w:after="0"/>
              <w:rPr>
                <w:sz w:val="1"/>
                <w:szCs w:val="1"/>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(13,094)</w:t>
            </w:r>
          </w:p>
        </w:tc>
        <w:tc>
          <w:tcPr>
            <w:tcW w:w="0" w:type="dxa"/>
            <w:vAlign w:val="bottom"/>
          </w:tcPr>
          <w:p>
            <w:pPr>
              <w:spacing w:after="0"/>
              <w:rPr>
                <w:sz w:val="1"/>
                <w:szCs w:val="1"/>
                <w:color w:val="auto"/>
              </w:rPr>
            </w:pPr>
          </w:p>
        </w:tc>
      </w:tr>
      <w:tr>
        <w:trPr>
          <w:trHeight w:val="251"/>
        </w:trPr>
        <w:tc>
          <w:tcPr>
            <w:tcW w:w="4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At September 30, 2026, the Company had 505 individual securities that were in an unrealized loss position. Management evaluates available for sale debt securities in unrealized loss positions to determine whether the impairment is due to credit-related factors or noncredit-related factors. Consideration is given to (1) the extent to which the fair value is less than the cost, and (2) the financial condition and near-term prospects of the issuer and</w:t>
      </w:r>
    </w:p>
    <w:p>
      <w:pPr>
        <w:spacing w:after="0" w:line="2" w:lineRule="exact"/>
        <w:rPr>
          <w:sz w:val="20"/>
          <w:szCs w:val="20"/>
          <w:color w:val="auto"/>
        </w:rPr>
      </w:pPr>
    </w:p>
    <w:p>
      <w:pPr>
        <w:ind w:right="160" w:firstLine="8"/>
        <w:spacing w:after="0" w:line="26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and ability of the Company to retain its investment in the security for a period of time sufficient to allow for any anticipated recovery in fair value.</w:t>
      </w:r>
    </w:p>
    <w:p>
      <w:pPr>
        <w:spacing w:after="0" w:line="1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Management does not currently intend to sell any securities in an unrealized loss position and believes that it is more likely than not that the Company will not have to sell any such securities before a recovery of cost. The fair value is expected to recover as the securities approach their maturity date or repricing date or if market yields for such investments decline. Accordingly, at September 30, 2026, management believes that the unrealized losses detailed in the previous table are due to noncredit-related factors, including changes in interest rates and other market conditions.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in the allowance for credit losses for held-to-maturity securities.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1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50</w:t>
            </w:r>
          </w:p>
        </w:tc>
      </w:tr>
      <w:tr>
        <w:trPr>
          <w:trHeight w:val="227"/>
        </w:trPr>
        <w:tc>
          <w:tcPr>
            <w:tcW w:w="4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Recovery for credit losses for held to maturity securities</w:t>
            </w:r>
          </w:p>
        </w:tc>
        <w:tc>
          <w:tcPr>
            <w:tcW w:w="1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(7)</w:t>
            </w:r>
          </w:p>
        </w:tc>
      </w:tr>
      <w:tr>
        <w:trPr>
          <w:trHeight w:val="251"/>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43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Management has made the accounting policy election to exclude accrued interest receivable on securities from the estimate of credit losses. There were no past due or nonaccrual available for sale or held to maturity securities at September 30, 2026, or December 31, 2025. Accrued interest on securities of $5.9 million and $5.9 million at September 30, 2026, and December 31, 2025, respectively, was included in accrued interest receivable and other assets on the face of the consolidated balance sheets.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Proceeds from sales and calls, and related gross gains and losses of securities available for sale, are shown below.</w:t>
      </w:r>
    </w:p>
    <w:p>
      <w:pPr>
        <w:spacing w:after="0" w:line="228"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21590</wp:posOffset>
            </wp:positionV>
            <wp:extent cx="24688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sales/calls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232,226</w:t>
            </w: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realized gains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realized losses</w:t>
            </w: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w:t>
            </w:r>
          </w:p>
        </w:tc>
      </w:tr>
    </w:tbl>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amortized cost and fair value of securities available for sale and held to maturity at September 30, 2026, grouped by contractual maturity. Mortgage-backed securities, collateralized mortgage obligations and asset-backed securities, which do not have contractual payments due at a single maturity date, are shown separately. Actual maturities for mortgage-backed securities and collateralized mortgage obligations will differ from contractual maturities as a result of prepayments made on the underlying loans.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Available for Sale</w:t>
            </w: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43,845</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180,435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156,775</w:t>
            </w: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139,162</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27,154</w:t>
            </w: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411,340</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100,598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96,380</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242,074</w:t>
            </w:r>
          </w:p>
        </w:tc>
      </w:tr>
      <w:tr>
        <w:trPr>
          <w:trHeight w:val="251"/>
        </w:trPr>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1,117,665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carrying amounts of securities pledged as collateral for deposits and repurchase agreements at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value of securities pledged to secure public deposits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671,626</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Carrying value of securities pledged to repurchase agreements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22,405</w:t>
            </w:r>
          </w:p>
        </w:tc>
      </w:tr>
    </w:tbl>
    <w:p>
      <w:pPr>
        <w:spacing w:after="0" w:line="24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Bank has entered into various fair value hedging transactions to mitigate the impact of changing interest rates on the fair values of certain available-for-sale securities. See </w:t>
      </w:r>
      <w:r>
        <w:rPr>
          <w:rFonts w:ascii="Times New Roman" w:cs="Times New Roman" w:eastAsia="Times New Roman" w:hAnsi="Times New Roman"/>
          <w:sz w:val="18"/>
          <w:szCs w:val="18"/>
          <w:i w:val="1"/>
          <w:iCs w:val="1"/>
          <w:color w:val="auto"/>
        </w:rPr>
        <w:t>Note 7 — Derivative Financial Instruments</w:t>
      </w:r>
      <w:r>
        <w:rPr>
          <w:rFonts w:ascii="Times New Roman" w:cs="Times New Roman" w:eastAsia="Times New Roman" w:hAnsi="Times New Roman"/>
          <w:sz w:val="18"/>
          <w:szCs w:val="18"/>
          <w:color w:val="auto"/>
        </w:rPr>
        <w:t xml:space="preserve"> for disclosure of the gains and losses recognized on derivative instruments and the cumulative fair value hedging adjustments to the carrying amount of the hedged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Loans consist of the following:</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Loans held for sale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LHFI:</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382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3"/>
        </w:trPr>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-187960</wp:posOffset>
            </wp:positionV>
            <wp:extent cx="71151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128905</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19" w:lineRule="exact"/>
        <w:rPr>
          <w:sz w:val="20"/>
          <w:szCs w:val="20"/>
          <w:color w:val="auto"/>
        </w:rPr>
      </w:pPr>
    </w:p>
    <w:p>
      <w:pPr>
        <w:sectPr>
          <w:pgSz w:w="11900" w:h="16838" w:orient="portrait"/>
          <w:cols w:equalWidth="0" w:num="2">
            <w:col w:w="2900" w:space="600"/>
            <w:col w:w="7720"/>
          </w:cols>
          <w:pgMar w:left="320" w:top="124"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r>
              <w:rPr>
                <w:rFonts w:ascii="Times New Roman" w:cs="Times New Roman" w:eastAsia="Times New Roman" w:hAnsi="Times New Roman"/>
                <w:sz w:val="21"/>
                <w:szCs w:val="21"/>
                <w:color w:val="auto"/>
                <w:vertAlign w:val="superscript"/>
              </w:rPr>
              <w:t>(1)</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2,722,473</w:t>
            </w:r>
          </w:p>
        </w:tc>
        <w:tc>
          <w:tcPr>
            <w:tcW w:w="100" w:type="dxa"/>
            <w:vAlign w:val="bottom"/>
          </w:tcPr>
          <w:p>
            <w:pPr>
              <w:spacing w:after="0"/>
              <w:rPr>
                <w:sz w:val="21"/>
                <w:szCs w:val="21"/>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2,523,905</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611,220</w:t>
            </w:r>
          </w:p>
        </w:tc>
      </w:tr>
      <w:tr>
        <w:trPr>
          <w:trHeight w:val="227"/>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1,437,148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1,444,611</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577,102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553,149</w:t>
            </w:r>
          </w:p>
        </w:tc>
      </w:tr>
      <w:tr>
        <w:trPr>
          <w:trHeight w:val="223"/>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5,513,405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5,132,885</w:t>
            </w:r>
          </w:p>
        </w:tc>
      </w:tr>
      <w:tr>
        <w:trPr>
          <w:trHeight w:val="23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2,122,572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1,989,218</w:t>
            </w: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528,781</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20,033</w:t>
            </w:r>
          </w:p>
        </w:tc>
      </w:tr>
      <w:tr>
        <w:trPr>
          <w:trHeight w:val="226"/>
        </w:trPr>
        <w:tc>
          <w:tcPr>
            <w:tcW w:w="7320" w:type="dxa"/>
            <w:vAlign w:val="bottom"/>
          </w:tcPr>
          <w:p>
            <w:pPr>
              <w:ind w:left="20"/>
              <w:spacing w:after="0" w:line="226" w:lineRule="exact"/>
              <w:rPr>
                <w:sz w:val="20"/>
                <w:szCs w:val="20"/>
                <w:color w:val="auto"/>
              </w:rPr>
            </w:pPr>
            <w:r>
              <w:rPr>
                <w:rFonts w:ascii="Times New Roman" w:cs="Times New Roman" w:eastAsia="Times New Roman" w:hAnsi="Times New Roman"/>
                <w:sz w:val="16"/>
                <w:szCs w:val="16"/>
                <w:color w:val="auto"/>
              </w:rPr>
              <w:t>Total LHFI</w:t>
            </w:r>
            <w:r>
              <w:rPr>
                <w:rFonts w:ascii="Times New Roman" w:cs="Times New Roman" w:eastAsia="Times New Roman" w:hAnsi="Times New Roman"/>
                <w:sz w:val="21"/>
                <w:szCs w:val="21"/>
                <w:color w:val="auto"/>
                <w:vertAlign w:val="superscript"/>
              </w:rPr>
              <w:t>(2)</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8,094,172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7,670,917</w:t>
            </w: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Allowance for loan credit losses (“ALCL”)</w:t>
            </w: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96,782</w:t>
            </w:r>
          </w:p>
        </w:tc>
      </w:tr>
      <w:tr>
        <w:trPr>
          <w:trHeight w:val="22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LHFI, net</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7,995,794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7,574,135</w:t>
            </w:r>
          </w:p>
        </w:tc>
      </w:tr>
      <w:tr>
        <w:trPr>
          <w:trHeight w:val="20"/>
        </w:trPr>
        <w:tc>
          <w:tcPr>
            <w:tcW w:w="7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owner-occupied commercial real estate of $1.12 billion and $1.00 billion at September 30, 2026, and December 31, 2025, respectively.</w:t>
      </w:r>
    </w:p>
    <w:p>
      <w:pPr>
        <w:spacing w:after="0" w:line="3"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unamortized purchase accounting adjustment and net deferred loan fees of $11.5 million and $10.6 million at September 30, 2026, and December 31, 2025, respectively.</w:t>
      </w:r>
    </w:p>
    <w:p>
      <w:pPr>
        <w:spacing w:after="0" w:line="13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quality indicators. </w:t>
      </w:r>
      <w:r>
        <w:rPr>
          <w:rFonts w:ascii="Times New Roman" w:cs="Times New Roman" w:eastAsia="Times New Roman" w:hAnsi="Times New Roman"/>
          <w:sz w:val="18"/>
          <w:szCs w:val="18"/>
          <w:color w:val="auto"/>
        </w:rPr>
        <w:t>As part of the Company’s commitment to managing the credit quality of its loan portfolio, management annually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updates and evaluates certain credit quality indicators, which include but are not limited to (i) weighted-average risk rating of the loan portfolio, (ii) net charge-offs, (iii) level of non-performing loans, (iv) level of classified loans (defined as substandard, doubtful and loss), and (v) the general economic conditions particularly in the cities and states in which the Company operates. The Company maintains an internal risk rating system where ratings are assigned to individual loans based on assessed risk. Loan risk ratings are the primary indicator of credit quality for the loan portfolio and are continually evaluated to ensure they are appropriate based on currently available information.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description of the Company’s internal risk ratings:</w:t>
      </w:r>
    </w:p>
    <w:p>
      <w:pPr>
        <w:sectPr>
          <w:pgSz w:w="11900" w:h="16838" w:orient="portrait"/>
          <w:cols w:equalWidth="0" w:num="1">
            <w:col w:w="11220"/>
          </w:cols>
          <w:pgMar w:left="320" w:top="124" w:right="35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Pass (1-6)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within this risk rating are further categorized as follows:</w:t>
      </w:r>
    </w:p>
    <w:p>
      <w:pPr>
        <w:spacing w:after="0" w:line="47"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Minimal risk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Well-collateralized by cash equivalent instruments held by the Bank.</w:t>
      </w:r>
    </w:p>
    <w:p>
      <w:pPr>
        <w:spacing w:after="0" w:line="48"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Moderate risk (2)</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Times New Roman" w:cs="Times New Roman" w:eastAsia="Times New Roman" w:hAnsi="Times New Roman"/>
          <w:sz w:val="17"/>
          <w:szCs w:val="17"/>
          <w:color w:val="auto"/>
        </w:rPr>
        <w:t>Borrowers with excellent asset quality and liquidity. Borrowers’ capitalization and liquidity exceed industry norms. Borrowers in this category have significant levels of liquid assets and have a low level of leverage.</w:t>
      </w:r>
    </w:p>
    <w:p>
      <w:pPr>
        <w:spacing w:after="0" w:line="4"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Better than average risk (3)</w:t>
      </w:r>
    </w:p>
    <w:p>
      <w:pPr>
        <w:spacing w:after="0" w:line="20" w:lineRule="exact"/>
        <w:rPr>
          <w:sz w:val="20"/>
          <w:szCs w:val="20"/>
          <w:color w:val="auto"/>
        </w:rPr>
      </w:pPr>
      <w:r>
        <w:rPr>
          <w:sz w:val="20"/>
          <w:szCs w:val="20"/>
          <w:color w:val="auto"/>
        </w:rPr>
        <w:br w:type="column"/>
      </w:r>
    </w:p>
    <w:p>
      <w:pPr>
        <w:ind w:right="40"/>
        <w:spacing w:after="0" w:line="251" w:lineRule="auto"/>
        <w:rPr>
          <w:sz w:val="20"/>
          <w:szCs w:val="20"/>
          <w:color w:val="auto"/>
        </w:rPr>
      </w:pPr>
      <w:r>
        <w:rPr>
          <w:rFonts w:ascii="Times New Roman" w:cs="Times New Roman" w:eastAsia="Times New Roman" w:hAnsi="Times New Roman"/>
          <w:sz w:val="17"/>
          <w:szCs w:val="17"/>
          <w:color w:val="auto"/>
        </w:rPr>
        <w:t>Borrowers with strong financial strength and excellent liquidity that consistently demonstrate strong operating performance. Borrowers in this category generally have a sizable net worth that can be converted into liquid</w:t>
      </w:r>
    </w:p>
    <w:p>
      <w:pPr>
        <w:spacing w:after="0" w:line="1"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260"/>
        <w:spacing w:after="0" w:line="233" w:lineRule="auto"/>
        <w:rPr>
          <w:sz w:val="20"/>
          <w:szCs w:val="20"/>
          <w:color w:val="auto"/>
        </w:rPr>
      </w:pPr>
      <w:r>
        <w:rPr>
          <w:rFonts w:ascii="Times New Roman" w:cs="Times New Roman" w:eastAsia="Times New Roman" w:hAnsi="Times New Roman"/>
          <w:sz w:val="17"/>
          <w:szCs w:val="17"/>
          <w:color w:val="auto"/>
        </w:rPr>
        <w:t>assets within 12 months.</w:t>
      </w:r>
    </w:p>
    <w:p>
      <w:pPr>
        <w:sectPr>
          <w:pgSz w:w="11900" w:h="16838" w:orient="portrait"/>
          <w:cols w:equalWidth="0" w:num="1">
            <w:col w:w="11220"/>
          </w:cols>
          <w:pgMar w:left="320" w:top="124" w:right="359" w:bottom="1440" w:gutter="0" w:footer="0" w:header="0"/>
          <w:type w:val="continuous"/>
        </w:sectPr>
      </w:pP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Average risk (4)</w:t>
      </w:r>
    </w:p>
    <w:p>
      <w:pPr>
        <w:spacing w:after="0" w:line="20" w:lineRule="exact"/>
        <w:rPr>
          <w:sz w:val="20"/>
          <w:szCs w:val="20"/>
          <w:color w:val="auto"/>
        </w:rPr>
      </w:pPr>
      <w:r>
        <w:rPr>
          <w:sz w:val="20"/>
          <w:szCs w:val="20"/>
          <w:color w:val="auto"/>
        </w:rPr>
        <w:br w:type="column"/>
      </w:r>
    </w:p>
    <w:p>
      <w:pPr>
        <w:ind w:right="160"/>
        <w:spacing w:after="0" w:line="237" w:lineRule="auto"/>
        <w:rPr>
          <w:sz w:val="20"/>
          <w:szCs w:val="20"/>
          <w:color w:val="auto"/>
        </w:rPr>
      </w:pPr>
      <w:r>
        <w:rPr>
          <w:rFonts w:ascii="Times New Roman" w:cs="Times New Roman" w:eastAsia="Times New Roman" w:hAnsi="Times New Roman"/>
          <w:sz w:val="18"/>
          <w:szCs w:val="18"/>
          <w:color w:val="auto"/>
        </w:rPr>
        <w:t>Borrowers with sound credit quality and financial performance, including liquidity. Borrowers are supported by sufficient cash flow coverage generated through operations across the full business cycle.</w:t>
      </w:r>
    </w:p>
    <w:p>
      <w:pPr>
        <w:spacing w:after="0" w:line="23"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Marginally acceptable risk (5)</w:t>
      </w:r>
    </w:p>
    <w:p>
      <w:pPr>
        <w:spacing w:after="0" w:line="20" w:lineRule="exact"/>
        <w:rPr>
          <w:sz w:val="20"/>
          <w:szCs w:val="20"/>
          <w:color w:val="auto"/>
        </w:rPr>
      </w:pPr>
      <w:r>
        <w:rPr>
          <w:sz w:val="20"/>
          <w:szCs w:val="20"/>
          <w:color w:val="auto"/>
        </w:rPr>
        <w:br w:type="column"/>
      </w:r>
    </w:p>
    <w:p>
      <w:pPr>
        <w:ind w:right="300"/>
        <w:spacing w:after="0" w:line="251" w:lineRule="auto"/>
        <w:rPr>
          <w:sz w:val="20"/>
          <w:szCs w:val="20"/>
          <w:color w:val="auto"/>
        </w:rPr>
      </w:pPr>
      <w:r>
        <w:rPr>
          <w:rFonts w:ascii="Times New Roman" w:cs="Times New Roman" w:eastAsia="Times New Roman" w:hAnsi="Times New Roman"/>
          <w:sz w:val="17"/>
          <w:szCs w:val="17"/>
          <w:color w:val="auto"/>
        </w:rPr>
        <w:t>Loans generally meet minimum requirements for an acceptable loan in accordance with lending policy but possess one or more attributes that cause the overall risk profile to be higher than the majority of newly</w:t>
      </w:r>
    </w:p>
    <w:p>
      <w:pPr>
        <w:spacing w:after="0" w:line="1"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260"/>
        <w:spacing w:after="0" w:line="233" w:lineRule="auto"/>
        <w:rPr>
          <w:sz w:val="20"/>
          <w:szCs w:val="20"/>
          <w:color w:val="auto"/>
        </w:rPr>
      </w:pPr>
      <w:r>
        <w:rPr>
          <w:rFonts w:ascii="Times New Roman" w:cs="Times New Roman" w:eastAsia="Times New Roman" w:hAnsi="Times New Roman"/>
          <w:sz w:val="17"/>
          <w:szCs w:val="17"/>
          <w:color w:val="auto"/>
        </w:rPr>
        <w:t>approved loans.</w:t>
      </w:r>
    </w:p>
    <w:p>
      <w:pPr>
        <w:sectPr>
          <w:pgSz w:w="11900" w:h="16838" w:orient="portrait"/>
          <w:cols w:equalWidth="0" w:num="1">
            <w:col w:w="11220"/>
          </w:cols>
          <w:pgMar w:left="320" w:top="124" w:right="359" w:bottom="1440" w:gutter="0" w:footer="0" w:header="0"/>
          <w:type w:val="continuous"/>
        </w:sectPr>
      </w:pP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Watch (6)</w:t>
      </w:r>
    </w:p>
    <w:p>
      <w:pPr>
        <w:spacing w:after="0" w:line="20" w:lineRule="exact"/>
        <w:rPr>
          <w:sz w:val="20"/>
          <w:szCs w:val="20"/>
          <w:color w:val="auto"/>
        </w:rPr>
      </w:pPr>
      <w:r>
        <w:rPr>
          <w:sz w:val="20"/>
          <w:szCs w:val="20"/>
          <w:color w:val="auto"/>
        </w:rPr>
        <w:br w:type="column"/>
      </w:r>
    </w:p>
    <w:p>
      <w:pPr>
        <w:ind w:right="160"/>
        <w:spacing w:after="0" w:line="251" w:lineRule="auto"/>
        <w:rPr>
          <w:sz w:val="20"/>
          <w:szCs w:val="20"/>
          <w:color w:val="auto"/>
        </w:rPr>
      </w:pPr>
      <w:r>
        <w:rPr>
          <w:rFonts w:ascii="Times New Roman" w:cs="Times New Roman" w:eastAsia="Times New Roman" w:hAnsi="Times New Roman"/>
          <w:sz w:val="17"/>
          <w:szCs w:val="17"/>
          <w:color w:val="auto"/>
        </w:rPr>
        <w:t>A passing loan with one or more factors that identify a potential weakness in the overall ability of the borrower to repay the loan. These weaknesses are generally mitigated by other factors that reduce the risk of</w:t>
      </w:r>
    </w:p>
    <w:p>
      <w:pPr>
        <w:spacing w:after="0" w:line="1"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260"/>
        <w:spacing w:after="0" w:line="233" w:lineRule="auto"/>
        <w:rPr>
          <w:sz w:val="20"/>
          <w:szCs w:val="20"/>
          <w:color w:val="auto"/>
        </w:rPr>
      </w:pPr>
      <w:r>
        <w:rPr>
          <w:rFonts w:ascii="Times New Roman" w:cs="Times New Roman" w:eastAsia="Times New Roman" w:hAnsi="Times New Roman"/>
          <w:sz w:val="17"/>
          <w:szCs w:val="17"/>
          <w:color w:val="auto"/>
        </w:rPr>
        <w:t>delinquency or loss.</w:t>
      </w:r>
    </w:p>
    <w:p>
      <w:pPr>
        <w:sectPr>
          <w:pgSz w:w="11900" w:h="16838" w:orient="portrait"/>
          <w:cols w:equalWidth="0" w:num="1">
            <w:col w:w="11220"/>
          </w:cols>
          <w:pgMar w:left="320" w:top="124" w:right="359" w:bottom="1440" w:gutter="0" w:footer="0" w:header="0"/>
          <w:type w:val="continuous"/>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Special Mention (7)</w:t>
      </w:r>
    </w:p>
    <w:p>
      <w:pPr>
        <w:spacing w:after="0" w:line="20" w:lineRule="exact"/>
        <w:rPr>
          <w:sz w:val="20"/>
          <w:szCs w:val="20"/>
          <w:color w:val="auto"/>
        </w:rPr>
      </w:pPr>
      <w:r>
        <w:rPr>
          <w:sz w:val="20"/>
          <w:szCs w:val="20"/>
          <w:color w:val="auto"/>
        </w:rPr>
        <w:br w:type="column"/>
      </w:r>
    </w:p>
    <w:p>
      <w:pPr>
        <w:ind w:right="120"/>
        <w:spacing w:after="0" w:line="237" w:lineRule="auto"/>
        <w:rPr>
          <w:sz w:val="20"/>
          <w:szCs w:val="20"/>
          <w:color w:val="auto"/>
        </w:rPr>
      </w:pPr>
      <w:r>
        <w:rPr>
          <w:rFonts w:ascii="Times New Roman" w:cs="Times New Roman" w:eastAsia="Times New Roman" w:hAnsi="Times New Roman"/>
          <w:sz w:val="18"/>
          <w:szCs w:val="18"/>
          <w:color w:val="auto"/>
        </w:rPr>
        <w:t>This grade is intended to be temporary and includes borrowers whose credit quality has deteriorated and is at risk of further decline.</w:t>
      </w:r>
    </w:p>
    <w:p>
      <w:pPr>
        <w:spacing w:after="0" w:line="23"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 Substandard (8)</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7"/>
          <w:szCs w:val="17"/>
          <w:color w:val="auto"/>
        </w:rPr>
        <w:t>This grade includes “Substandard” loans under regulatory guidelines. Substandard loans exhibit a well-defined weakness that jeopardizes debt repayment in accordance with contractual agreements, even though the</w:t>
      </w:r>
    </w:p>
    <w:p>
      <w:pPr>
        <w:spacing w:after="0" w:line="1"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260" w:right="20"/>
        <w:spacing w:after="0" w:line="208" w:lineRule="auto"/>
        <w:rPr>
          <w:sz w:val="20"/>
          <w:szCs w:val="20"/>
          <w:color w:val="auto"/>
        </w:rPr>
      </w:pPr>
      <w:r>
        <w:rPr>
          <w:rFonts w:ascii="Times New Roman" w:cs="Times New Roman" w:eastAsia="Times New Roman" w:hAnsi="Times New Roman"/>
          <w:sz w:val="18"/>
          <w:szCs w:val="18"/>
          <w:color w:val="auto"/>
        </w:rPr>
        <w:t>loan may be performing. These obligations are characterized by the distinct possibility that a loss may be incurred if these weaknesses are not corrected, and repayment may be dependent upon collateral liquidation or secondary source of repayment.</w:t>
      </w:r>
    </w:p>
    <w:p>
      <w:pPr>
        <w:sectPr>
          <w:pgSz w:w="11900" w:h="16838" w:orient="portrait"/>
          <w:cols w:equalWidth="0" w:num="1">
            <w:col w:w="11220"/>
          </w:cols>
          <w:pgMar w:left="320" w:top="124" w:right="35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Doubtful (9)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This grade includes “Doubtful” loans under regulatory guidelines. Such loans are placed on nonaccrual status and repayment may be dependent upon collateral with no readily determinable valuation or valuations that are</w:t>
      </w:r>
    </w:p>
    <w:p>
      <w:pPr>
        <w:spacing w:after="0" w:line="1"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ind w:left="3260" w:right="200"/>
        <w:spacing w:after="0" w:line="211" w:lineRule="auto"/>
        <w:rPr>
          <w:sz w:val="20"/>
          <w:szCs w:val="20"/>
          <w:color w:val="auto"/>
        </w:rPr>
      </w:pPr>
      <w:r>
        <w:rPr>
          <w:rFonts w:ascii="Times New Roman" w:cs="Times New Roman" w:eastAsia="Times New Roman" w:hAnsi="Times New Roman"/>
          <w:sz w:val="18"/>
          <w:szCs w:val="18"/>
          <w:color w:val="auto"/>
        </w:rPr>
        <w:t>highly subjective in nature. Repayment for these loans is considered improbable based on currently existing facts and circumstances.</w:t>
      </w:r>
    </w:p>
    <w:p>
      <w:pPr>
        <w:sectPr>
          <w:pgSz w:w="11900" w:h="16838" w:orient="portrait"/>
          <w:cols w:equalWidth="0" w:num="1">
            <w:col w:w="11220"/>
          </w:cols>
          <w:pgMar w:left="320" w:top="124" w:right="359" w:bottom="1440" w:gutter="0" w:footer="0" w:header="0"/>
          <w:type w:val="continuous"/>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Loss (0)</w:t>
      </w:r>
    </w:p>
    <w:p>
      <w:pPr>
        <w:spacing w:after="0" w:line="20" w:lineRule="exact"/>
        <w:rPr>
          <w:sz w:val="20"/>
          <w:szCs w:val="20"/>
          <w:color w:val="auto"/>
        </w:rPr>
      </w:pPr>
      <w:r>
        <w:rPr>
          <w:sz w:val="20"/>
          <w:szCs w:val="20"/>
          <w:color w:val="auto"/>
        </w:rPr>
        <w:br w:type="column"/>
      </w:r>
    </w:p>
    <w:p>
      <w:pPr>
        <w:ind w:right="380"/>
        <w:spacing w:after="0" w:line="237" w:lineRule="auto"/>
        <w:rPr>
          <w:sz w:val="20"/>
          <w:szCs w:val="20"/>
          <w:color w:val="auto"/>
        </w:rPr>
      </w:pPr>
      <w:r>
        <w:rPr>
          <w:rFonts w:ascii="Times New Roman" w:cs="Times New Roman" w:eastAsia="Times New Roman" w:hAnsi="Times New Roman"/>
          <w:sz w:val="18"/>
          <w:szCs w:val="18"/>
          <w:color w:val="auto"/>
        </w:rPr>
        <w:t>This grade includes “Loss” loans under regulatory guidelines. Loss loans are charged-off or written down when repayment is not expected.</w:t>
      </w:r>
    </w:p>
    <w:p>
      <w:pPr>
        <w:spacing w:after="0" w:line="200" w:lineRule="exact"/>
        <w:rPr>
          <w:sz w:val="20"/>
          <w:szCs w:val="20"/>
          <w:color w:val="auto"/>
        </w:rPr>
      </w:pPr>
    </w:p>
    <w:p>
      <w:pPr>
        <w:sectPr>
          <w:pgSz w:w="11900" w:h="16838" w:orient="portrait"/>
          <w:cols w:equalWidth="0" w:num="2">
            <w:col w:w="2540" w:space="720"/>
            <w:col w:w="7960"/>
          </w:cols>
          <w:pgMar w:left="320" w:top="124" w:right="359" w:bottom="1440" w:gutter="0" w:footer="0" w:header="0"/>
          <w:type w:val="continuous"/>
        </w:sectPr>
      </w:pPr>
    </w:p>
    <w:p>
      <w:pPr>
        <w:spacing w:after="0" w:line="5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review of the loan portfolio, the Company considers risk elements attributable to particular loan types or categories in assessing the quality of individual loans. The list of loans to be reviewed for possible individual evaluation consists of unsecured loans over 90 days past due; loans greater than $50,000 that are either modified loans to borrowers experiencing financial difficulty or collateralized loans 180 days or more past due; as well as loans greater than $100,000 in which the borrower has either filed bankruptcy, is rated classified or non-accrual, and/or is a consumer loan with a FICO score under 625. Loans $50,000 or less will be evaluated collectively in designated pools unless a loss exposure has been identified. Some additional risk elements considered by loan type include:</w:t>
      </w:r>
    </w:p>
    <w:p>
      <w:pPr>
        <w:spacing w:after="0" w:line="133" w:lineRule="exact"/>
        <w:rPr>
          <w:sz w:val="20"/>
          <w:szCs w:val="20"/>
          <w:color w:val="auto"/>
        </w:rPr>
      </w:pPr>
    </w:p>
    <w:p>
      <w:pPr>
        <w:jc w:val="both"/>
        <w:ind w:left="660" w:right="1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real estate loans, the debt service coverage ratio, operating results of the owner in the case of owner-occupied properties, the loan to value ratio, the age and condition of the collateral and the volatility of income, property value and future operating results typical of properties of that type;</w:t>
      </w:r>
    </w:p>
    <w:p>
      <w:pPr>
        <w:spacing w:after="0" w:line="121" w:lineRule="exact"/>
        <w:rPr>
          <w:rFonts w:ascii="Times New Roman" w:cs="Times New Roman" w:eastAsia="Times New Roman" w:hAnsi="Times New Roman"/>
          <w:sz w:val="18"/>
          <w:szCs w:val="18"/>
          <w:color w:val="auto"/>
        </w:rPr>
      </w:pPr>
    </w:p>
    <w:p>
      <w:pPr>
        <w:ind w:left="660" w:righ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construction, land and land development loans, the perceived feasibility of the project, including the ability to sell developed lots or improvements constructed for resale or the ability to lease property constructed for lease, the quality and nature of contracts for presale or prelease, if any, experience and ability of the developer, and loan to value ratio;</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mortgage loans, the borrower’s ability to repay the loan, including a consideration of the debt to income ratio and employment and income stability, the loan-to-value ratio, and the age, condition and marketability of the collateral;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right="4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and industrial loans, the debt service coverage ratio (income from the business in excess of operating expenses compared to loan repayment requirements), the operating results of the commercial, industrial or professional enterprise, the borrower’s business, professional and financial ability and expertise, the specific risks and volatility of income and operating results typical for businesses in that category and the value, nature and marketability of collateral; and</w:t>
      </w:r>
    </w:p>
    <w:p>
      <w:pPr>
        <w:spacing w:after="0" w:line="1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mortgage warehouse loans, the borrower’s adherence to agency or investor underwriting guidelines, while the risk associated with the underlying consumer mortgage loan repayments, similar to other consumer loans, depends on the borrower’s financial stability and are more likely than commercial loans to be adversely affected by divorce, job loss, illness and other personal hardships.</w:t>
      </w:r>
    </w:p>
    <w:p>
      <w:pPr>
        <w:spacing w:after="0" w:line="12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Purchased loans that have experienced more than insignificant credit deterioration since origination at the time of acquisition are purchase credit deteriorated (“PCD”) loans. An allowance for credit losses is determined using the same methodology as other individually evaluated loans. The Company held approximately $3.6 million and $5.4 million of unpaid principal balance PCD loans at September 30, 2026, and December 31, 2025, respectively.</w:t>
      </w:r>
    </w:p>
    <w:p>
      <w:pPr>
        <w:spacing w:after="0" w:line="120"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Note 1 — Significant Accounting Policies</w:t>
      </w:r>
      <w:r>
        <w:rPr>
          <w:rFonts w:ascii="Times New Roman" w:cs="Times New Roman" w:eastAsia="Times New Roman" w:hAnsi="Times New Roman"/>
          <w:sz w:val="18"/>
          <w:szCs w:val="18"/>
          <w:color w:val="auto"/>
        </w:rPr>
        <w:t xml:space="preserve"> included in these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for a description of our accounting policies related to purchased financial assets with credit deterioration.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reflects recorded investments in loans by credit quality indicator and origination year at September 30, 2026, and gross charge-offs for the nine months ended September 30, 2026, excluding loans held for sale. Loans acquired are shown in the table by origination year, not merger date. The Company had an immaterial amount of revolving loans converted to term loans at September 30, 2026.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11"/>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609,401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564,273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135,936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252,485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592,710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431,442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2,637,532</w:t>
            </w: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63,336</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21,605</w:t>
            </w:r>
          </w:p>
        </w:tc>
        <w:tc>
          <w:tcPr>
            <w:tcW w:w="0" w:type="dxa"/>
            <w:vAlign w:val="bottom"/>
          </w:tcPr>
          <w:p>
            <w:pPr>
              <w:spacing w:after="0"/>
              <w:rPr>
                <w:sz w:val="1"/>
                <w:szCs w:val="1"/>
                <w:color w:val="auto"/>
              </w:rPr>
            </w:pPr>
          </w:p>
        </w:tc>
      </w:tr>
      <w:tr>
        <w:trPr>
          <w:trHeight w:val="210"/>
        </w:trPr>
        <w:tc>
          <w:tcPr>
            <w:tcW w:w="3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commercial real estate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610,086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564,685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146,851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260,188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647,359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442,019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2,722,473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Construction/land/land development: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188,702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323,429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59,302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62,597</w:t>
            </w:r>
          </w:p>
        </w:tc>
        <w:tc>
          <w:tcPr>
            <w:tcW w:w="120" w:type="dxa"/>
            <w:vAlign w:val="bottom"/>
          </w:tcPr>
          <w:p>
            <w:pPr>
              <w:spacing w:after="0"/>
              <w:rPr>
                <w:sz w:val="16"/>
                <w:szCs w:val="16"/>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33,901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745,928</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2,752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w:t>
            </w: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28,002</w:t>
            </w:r>
          </w:p>
        </w:tc>
        <w:tc>
          <w:tcPr>
            <w:tcW w:w="0" w:type="dxa"/>
            <w:vAlign w:val="bottom"/>
          </w:tcPr>
          <w:p>
            <w:pPr>
              <w:spacing w:after="0"/>
              <w:rPr>
                <w:sz w:val="1"/>
                <w:szCs w:val="1"/>
                <w:color w:val="auto"/>
              </w:rPr>
            </w:pPr>
          </w:p>
        </w:tc>
      </w:tr>
      <w:tr>
        <w:trPr>
          <w:trHeight w:val="23"/>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construction/land/land development loans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326,098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62,940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66,524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776,682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Single-family residential real estate:</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197,659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175,770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62,096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168,288</w:t>
            </w:r>
          </w:p>
        </w:tc>
        <w:tc>
          <w:tcPr>
            <w:tcW w:w="120" w:type="dxa"/>
            <w:vAlign w:val="bottom"/>
          </w:tcPr>
          <w:p>
            <w:pPr>
              <w:spacing w:after="0"/>
              <w:rPr>
                <w:sz w:val="16"/>
                <w:szCs w:val="16"/>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316,225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330,639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135,313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1,385,990</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50,411</w:t>
            </w:r>
          </w:p>
        </w:tc>
        <w:tc>
          <w:tcPr>
            <w:tcW w:w="0" w:type="dxa"/>
            <w:vAlign w:val="bottom"/>
          </w:tcPr>
          <w:p>
            <w:pPr>
              <w:spacing w:after="0"/>
              <w:rPr>
                <w:sz w:val="1"/>
                <w:szCs w:val="1"/>
                <w:color w:val="auto"/>
              </w:rPr>
            </w:pPr>
          </w:p>
        </w:tc>
      </w:tr>
      <w:tr>
        <w:trPr>
          <w:trHeight w:val="23"/>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single-family residential real estate loans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63,214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177,984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1,437,148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20" w:type="dxa"/>
            <w:vAlign w:val="bottom"/>
            <w:vMerge w:val="continue"/>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4"/>
                <w:szCs w:val="14"/>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 residential real estate: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112,620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145,780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13,877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482,748</w:t>
            </w: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89,612</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0" w:type="dxa"/>
            <w:vAlign w:val="bottom"/>
          </w:tcPr>
          <w:p>
            <w:pPr>
              <w:spacing w:after="0"/>
              <w:rPr>
                <w:sz w:val="1"/>
                <w:szCs w:val="1"/>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multi-family residential real estate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112,620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146,574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17,325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58,105</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178,518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62,226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577,102</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465,663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100,662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1,014,825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2,063,004</w:t>
            </w: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18,347</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4,039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41,221</w:t>
            </w: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and industrial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465,663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280,566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105,001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109,902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66,820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62,053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1,032,567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2,122,572</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Warehouse Lines of Credit: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439,677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439,677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18,461</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consumer loans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18,518</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3"/>
        </w:trPr>
        <w:tc>
          <w:tcPr>
            <w:tcW w:w="3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reflects recorded investments in loans by credit quality indicator and origination year at December 31, 2025, and gross charge-offs for the year ended December 31, 2025, excluding loans held for sale. Loans acquired are shown in the table by origination year, not merger date. The Company had an immaterial amount of revolving loans converted to term loans at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11"/>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566,147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211,520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302,448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718,350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310,901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2,493,978</w:t>
            </w: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7,827</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22,100</w:t>
            </w: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566,676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219,666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307,335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726,239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325,625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317,141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61,223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2,523,905</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Construction/land/land development: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235,134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84,044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88,060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80,150</w:t>
            </w:r>
          </w:p>
        </w:tc>
        <w:tc>
          <w:tcPr>
            <w:tcW w:w="120" w:type="dxa"/>
            <w:vAlign w:val="bottom"/>
          </w:tcPr>
          <w:p>
            <w:pPr>
              <w:spacing w:after="0"/>
              <w:rPr>
                <w:sz w:val="16"/>
                <w:szCs w:val="16"/>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57,982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585,444</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3,996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25,776</w:t>
            </w:r>
          </w:p>
        </w:tc>
        <w:tc>
          <w:tcPr>
            <w:tcW w:w="0" w:type="dxa"/>
            <w:vAlign w:val="bottom"/>
          </w:tcPr>
          <w:p>
            <w:pPr>
              <w:spacing w:after="0"/>
              <w:rPr>
                <w:sz w:val="1"/>
                <w:szCs w:val="1"/>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construction/land/land development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235,258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84,767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92,056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91,392</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60,709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40,384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611,220</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Single-family residential real estate: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207,545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207,189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355,335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191,161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114,688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1,391,275</w:t>
            </w: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53,336</w:t>
            </w:r>
          </w:p>
        </w:tc>
        <w:tc>
          <w:tcPr>
            <w:tcW w:w="0" w:type="dxa"/>
            <w:vAlign w:val="bottom"/>
          </w:tcPr>
          <w:p>
            <w:pPr>
              <w:spacing w:after="0"/>
              <w:rPr>
                <w:sz w:val="1"/>
                <w:szCs w:val="1"/>
                <w:color w:val="auto"/>
              </w:rPr>
            </w:pPr>
          </w:p>
        </w:tc>
      </w:tr>
      <w:tr>
        <w:trPr>
          <w:trHeight w:val="23"/>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real estate loans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221,249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380,091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1,444,611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20" w:type="dxa"/>
            <w:vAlign w:val="bottom"/>
            <w:vMerge w:val="continue"/>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Pr>
          <w:p>
            <w:pPr>
              <w:spacing w:after="0"/>
              <w:rPr>
                <w:sz w:val="14"/>
                <w:szCs w:val="14"/>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 residential real estate: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58,625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552,906</w:t>
            </w: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3"/>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real estate loans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188,345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58,625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553,149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425,600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151,628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158,442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81,585</w:t>
            </w:r>
          </w:p>
        </w:tc>
        <w:tc>
          <w:tcPr>
            <w:tcW w:w="120" w:type="dxa"/>
            <w:vAlign w:val="bottom"/>
          </w:tcPr>
          <w:p>
            <w:pPr>
              <w:spacing w:after="0"/>
              <w:rPr>
                <w:sz w:val="16"/>
                <w:szCs w:val="16"/>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54,154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1,039,561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1,940,732</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0" w:type="dxa"/>
            <w:vAlign w:val="bottom"/>
          </w:tcPr>
          <w:p>
            <w:pPr>
              <w:spacing w:after="0"/>
              <w:rPr>
                <w:sz w:val="1"/>
                <w:szCs w:val="1"/>
                <w:color w:val="auto"/>
              </w:rPr>
            </w:pP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45,989</w:t>
            </w:r>
          </w:p>
        </w:tc>
        <w:tc>
          <w:tcPr>
            <w:tcW w:w="0" w:type="dxa"/>
            <w:vAlign w:val="bottom"/>
          </w:tcPr>
          <w:p>
            <w:pPr>
              <w:spacing w:after="0"/>
              <w:rPr>
                <w:sz w:val="1"/>
                <w:szCs w:val="1"/>
                <w:color w:val="auto"/>
              </w:rPr>
            </w:pPr>
          </w:p>
        </w:tc>
      </w:tr>
      <w:tr>
        <w:trPr>
          <w:trHeight w:val="24"/>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and industrial loans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162,661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90,140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1,989,218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20" w:type="dxa"/>
            <w:vAlign w:val="bottom"/>
            <w:vMerge w:val="continue"/>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20" w:type="dxa"/>
            <w:vAlign w:val="bottom"/>
          </w:tcPr>
          <w:p>
            <w:pPr>
              <w:spacing w:after="0"/>
              <w:rPr>
                <w:sz w:val="14"/>
                <w:szCs w:val="14"/>
                <w:color w:val="auto"/>
              </w:rPr>
            </w:pPr>
          </w:p>
        </w:tc>
        <w:tc>
          <w:tcPr>
            <w:tcW w:w="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33,340</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1"/>
                <w:szCs w:val="11"/>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Warehouse Lines of Credit:</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528,781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528,781</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19,849</w:t>
            </w:r>
          </w:p>
        </w:tc>
        <w:tc>
          <w:tcPr>
            <w:tcW w:w="0" w:type="dxa"/>
            <w:vAlign w:val="bottom"/>
          </w:tcPr>
          <w:p>
            <w:pPr>
              <w:spacing w:after="0"/>
              <w:rPr>
                <w:sz w:val="1"/>
                <w:szCs w:val="1"/>
                <w:color w:val="auto"/>
              </w:rPr>
            </w:pP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 loans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Year-to-date gross charge-offs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40" w:type="dxa"/>
            <w:vAlign w:val="bottom"/>
            <w:vMerge w:val="continue"/>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loan portfolio aging analysis at the dates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Loans Past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100" w:type="dxa"/>
            <w:vAlign w:val="bottom"/>
          </w:tcPr>
          <w:p>
            <w:pPr>
              <w:spacing w:after="0"/>
              <w:rPr>
                <w:sz w:val="14"/>
                <w:szCs w:val="14"/>
                <w:color w:val="auto"/>
              </w:rPr>
            </w:pPr>
          </w:p>
        </w:tc>
        <w:tc>
          <w:tcPr>
            <w:tcW w:w="960" w:type="dxa"/>
            <w:vAlign w:val="bottom"/>
          </w:tcPr>
          <w:p>
            <w:pPr>
              <w:jc w:val="center"/>
              <w:ind w:right="39"/>
              <w:spacing w:after="0" w:line="17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0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Loans 90 or</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Due 90 Days</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Past Due</w:t>
            </w: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Past Due and</w:t>
            </w:r>
          </w:p>
        </w:tc>
        <w:tc>
          <w:tcPr>
            <w:tcW w:w="10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More Days</w:t>
            </w:r>
          </w:p>
        </w:tc>
        <w:tc>
          <w:tcPr>
            <w:tcW w:w="0" w:type="dxa"/>
            <w:vAlign w:val="bottom"/>
          </w:tcPr>
          <w:p>
            <w:pPr>
              <w:spacing w:after="0"/>
              <w:rPr>
                <w:sz w:val="1"/>
                <w:szCs w:val="1"/>
                <w:color w:val="auto"/>
              </w:rPr>
            </w:pPr>
          </w:p>
        </w:tc>
      </w:tr>
      <w:tr>
        <w:trPr>
          <w:trHeight w:val="212"/>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or More</w:t>
            </w: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Still Accruing</w:t>
            </w:r>
          </w:p>
        </w:tc>
        <w:tc>
          <w:tcPr>
            <w:tcW w:w="10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2,712,885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2,722,473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21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Construction/land/land</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774,390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776,682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Single-family residential real</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1,422,480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1,437,148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estate</w:t>
            </w: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Multifamily residential real</w:t>
            </w: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577,102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577,102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estate</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5,486,857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5,513,405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2,116,137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2,122,572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21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Mortgage warehouse lines of</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credit</w:t>
            </w: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LHFI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8,060,902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Loans Past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100" w:type="dxa"/>
            <w:vAlign w:val="bottom"/>
          </w:tcPr>
          <w:p>
            <w:pPr>
              <w:spacing w:after="0"/>
              <w:rPr>
                <w:sz w:val="14"/>
                <w:szCs w:val="14"/>
                <w:color w:val="auto"/>
              </w:rPr>
            </w:pPr>
          </w:p>
        </w:tc>
        <w:tc>
          <w:tcPr>
            <w:tcW w:w="960" w:type="dxa"/>
            <w:vAlign w:val="bottom"/>
          </w:tcPr>
          <w:p>
            <w:pPr>
              <w:jc w:val="center"/>
              <w:ind w:right="39"/>
              <w:spacing w:after="0" w:line="17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 Past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Loans 90 or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Due 90 Days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Past Due and</w:t>
            </w:r>
          </w:p>
        </w:tc>
        <w:tc>
          <w:tcPr>
            <w:tcW w:w="10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More Days</w:t>
            </w:r>
          </w:p>
        </w:tc>
        <w:tc>
          <w:tcPr>
            <w:tcW w:w="0" w:type="dxa"/>
            <w:vAlign w:val="bottom"/>
          </w:tcPr>
          <w:p>
            <w:pPr>
              <w:spacing w:after="0"/>
              <w:rPr>
                <w:sz w:val="1"/>
                <w:szCs w:val="1"/>
                <w:color w:val="auto"/>
              </w:rPr>
            </w:pPr>
          </w:p>
        </w:tc>
      </w:tr>
      <w:tr>
        <w:trPr>
          <w:trHeight w:val="212"/>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or More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Due</w:t>
            </w:r>
          </w:p>
        </w:tc>
        <w:tc>
          <w:tcPr>
            <w:tcW w:w="1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Still Accruing</w:t>
            </w:r>
          </w:p>
        </w:tc>
        <w:tc>
          <w:tcPr>
            <w:tcW w:w="10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210"/>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2,509,818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2,523,905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Construction/land/land</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596,554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611,220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10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Single-family residential real</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1,408,998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estate</w:t>
            </w: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0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Multifamily residential real</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553,149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553,149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estate</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5,068,519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5,132,885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1,980,277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1,989,218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21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Mortgage warehouse lines of</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LHFI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7,597,316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7,670,917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detail activity in the ALCL by portfolio segment. Management has made the accounting policy election to exclude accrued interest receivable on loans from the estimate of loan credit losses. Allocation of a portion of the allowance to one category of loans does not preclude its availability to absorb losses in other categories. Accrued interest on loans receivable of $31.3 million and $28.9 million at September 30, 2026, and December 31, 2025, respectively, was included in accrued interest receivable and other assets on the face of the consolidated balance sheets.</w:t>
      </w:r>
    </w:p>
    <w:p>
      <w:pPr>
        <w:spacing w:after="0" w:line="2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21590</wp:posOffset>
            </wp:positionV>
            <wp:extent cx="5923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Single-Family</w:t>
            </w:r>
          </w:p>
        </w:tc>
        <w:tc>
          <w:tcPr>
            <w:tcW w:w="14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Land/ Land</w:t>
            </w:r>
          </w:p>
        </w:tc>
        <w:tc>
          <w:tcPr>
            <w:tcW w:w="11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Warehouse</w:t>
            </w:r>
          </w:p>
        </w:tc>
        <w:tc>
          <w:tcPr>
            <w:tcW w:w="140" w:type="dxa"/>
            <w:vAlign w:val="bottom"/>
          </w:tcPr>
          <w:p>
            <w:pPr>
              <w:spacing w:after="0"/>
              <w:rPr>
                <w:sz w:val="12"/>
                <w:szCs w:val="12"/>
                <w:color w:val="auto"/>
              </w:rPr>
            </w:pPr>
          </w:p>
        </w:tc>
        <w:tc>
          <w:tcPr>
            <w:tcW w:w="86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8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Lines of Credit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19,078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6,565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9,990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54,234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98,188</w:t>
            </w:r>
          </w:p>
        </w:tc>
        <w:tc>
          <w:tcPr>
            <w:tcW w:w="0" w:type="dxa"/>
            <w:vAlign w:val="bottom"/>
          </w:tcPr>
          <w:p>
            <w:pPr>
              <w:spacing w:after="0"/>
              <w:rPr>
                <w:sz w:val="1"/>
                <w:szCs w:val="1"/>
                <w:color w:val="auto"/>
              </w:rPr>
            </w:pPr>
          </w:p>
        </w:tc>
      </w:tr>
      <w:tr>
        <w:trPr>
          <w:trHeight w:val="226"/>
        </w:trPr>
        <w:tc>
          <w:tcPr>
            <w:tcW w:w="1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tcPr>
          <w:p>
            <w:pPr>
              <w:spacing w:after="0"/>
              <w:rPr>
                <w:sz w:val="19"/>
                <w:szCs w:val="19"/>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3,224</w:t>
            </w:r>
          </w:p>
        </w:tc>
        <w:tc>
          <w:tcPr>
            <w:tcW w:w="0" w:type="dxa"/>
            <w:vAlign w:val="bottom"/>
          </w:tcPr>
          <w:p>
            <w:pPr>
              <w:spacing w:after="0"/>
              <w:rPr>
                <w:sz w:val="1"/>
                <w:szCs w:val="1"/>
                <w:color w:val="auto"/>
              </w:rPr>
            </w:pPr>
          </w:p>
        </w:tc>
      </w:tr>
      <w:tr>
        <w:trPr>
          <w:trHeight w:val="233"/>
        </w:trPr>
        <w:tc>
          <w:tcPr>
            <w:tcW w:w="1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ind w:left="300"/>
              <w:spacing w:after="0" w:line="230" w:lineRule="exact"/>
              <w:rPr>
                <w:sz w:val="20"/>
                <w:szCs w:val="20"/>
                <w:color w:val="auto"/>
              </w:rPr>
            </w:pPr>
            <w:r>
              <w:rPr>
                <w:rFonts w:ascii="Times New Roman" w:cs="Times New Roman" w:eastAsia="Times New Roman" w:hAnsi="Times New Roman"/>
                <w:sz w:val="16"/>
                <w:szCs w:val="16"/>
                <w:color w:val="auto"/>
              </w:rPr>
              <w:t>Provision</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2,851</w:t>
            </w:r>
          </w:p>
        </w:tc>
        <w:tc>
          <w:tcPr>
            <w:tcW w:w="0" w:type="dxa"/>
            <w:vAlign w:val="bottom"/>
          </w:tcPr>
          <w:p>
            <w:pPr>
              <w:spacing w:after="0"/>
              <w:rPr>
                <w:sz w:val="1"/>
                <w:szCs w:val="1"/>
                <w:color w:val="auto"/>
              </w:rPr>
            </w:pP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18,533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7,230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9,906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54,399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98,378</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2,643,416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742,095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1,432,824</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578,468</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2,164,704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479,308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18,859</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8,059,674</w:t>
            </w: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charge-offs</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(recoveries) to loan</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average balance</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0.13 %</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(annualized)</w:t>
            </w: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55" w:lineRule="exact"/>
        <w:rPr>
          <w:sz w:val="20"/>
          <w:szCs w:val="20"/>
          <w:color w:val="auto"/>
        </w:rPr>
      </w:pPr>
    </w:p>
    <w:p>
      <w:pPr>
        <w:ind w:left="360" w:right="740" w:hanging="334"/>
        <w:spacing w:after="0" w:line="204" w:lineRule="auto"/>
        <w:tabs>
          <w:tab w:leader="none" w:pos="34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$2.6 million provision for credit losses on the consolidated statements of income includes a $2.9 million provision expense for loan credit losses, a $241,000 and $4,000 net benefit provision for off-balance sheet commitments and held to maturity securities credit losses, respectively, for the three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7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21590</wp:posOffset>
            </wp:positionV>
            <wp:extent cx="59232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Single-Family</w:t>
            </w:r>
          </w:p>
        </w:tc>
        <w:tc>
          <w:tcPr>
            <w:tcW w:w="14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Land/ Land</w:t>
            </w:r>
          </w:p>
        </w:tc>
        <w:tc>
          <w:tcPr>
            <w:tcW w:w="11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Warehouse</w:t>
            </w:r>
          </w:p>
        </w:tc>
        <w:tc>
          <w:tcPr>
            <w:tcW w:w="140" w:type="dxa"/>
            <w:vAlign w:val="bottom"/>
          </w:tcPr>
          <w:p>
            <w:pPr>
              <w:spacing w:after="0"/>
              <w:rPr>
                <w:sz w:val="12"/>
                <w:szCs w:val="12"/>
                <w:color w:val="auto"/>
              </w:rPr>
            </w:pPr>
          </w:p>
        </w:tc>
        <w:tc>
          <w:tcPr>
            <w:tcW w:w="86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Lines of Credit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16,785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6,324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9,059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54,175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92,426</w:t>
            </w:r>
          </w:p>
        </w:tc>
        <w:tc>
          <w:tcPr>
            <w:tcW w:w="0" w:type="dxa"/>
            <w:vAlign w:val="bottom"/>
          </w:tcPr>
          <w:p>
            <w:pPr>
              <w:spacing w:after="0"/>
              <w:rPr>
                <w:sz w:val="1"/>
                <w:szCs w:val="1"/>
                <w:color w:val="auto"/>
              </w:rPr>
            </w:pPr>
          </w:p>
        </w:tc>
      </w:tr>
      <w:tr>
        <w:trPr>
          <w:trHeight w:val="227"/>
        </w:trPr>
        <w:tc>
          <w:tcPr>
            <w:tcW w:w="1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32,184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32,206</w:t>
            </w:r>
          </w:p>
        </w:tc>
        <w:tc>
          <w:tcPr>
            <w:tcW w:w="0" w:type="dxa"/>
            <w:vAlign w:val="bottom"/>
          </w:tcPr>
          <w:p>
            <w:pPr>
              <w:spacing w:after="0"/>
              <w:rPr>
                <w:sz w:val="1"/>
                <w:szCs w:val="1"/>
                <w:color w:val="auto"/>
              </w:rPr>
            </w:pPr>
          </w:p>
        </w:tc>
      </w:tr>
      <w:tr>
        <w:trPr>
          <w:trHeight w:val="233"/>
        </w:trPr>
        <w:tc>
          <w:tcPr>
            <w:tcW w:w="1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29"/>
        </w:trPr>
        <w:tc>
          <w:tcPr>
            <w:tcW w:w="1580" w:type="dxa"/>
            <w:vAlign w:val="bottom"/>
            <w:tcBorders>
              <w:bottom w:val="single" w:sz="8" w:color="CCEEFF"/>
            </w:tcBorders>
          </w:tcPr>
          <w:p>
            <w:pPr>
              <w:ind w:left="300"/>
              <w:spacing w:after="0" w:line="230" w:lineRule="exact"/>
              <w:rPr>
                <w:sz w:val="20"/>
                <w:szCs w:val="20"/>
                <w:color w:val="auto"/>
              </w:rPr>
            </w:pPr>
            <w:r>
              <w:rPr>
                <w:rFonts w:ascii="Times New Roman" w:cs="Times New Roman" w:eastAsia="Times New Roman" w:hAnsi="Times New Roman"/>
                <w:sz w:val="16"/>
                <w:szCs w:val="16"/>
                <w:color w:val="auto"/>
              </w:rPr>
              <w:t>Provision</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31,679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35,216</w:t>
            </w:r>
          </w:p>
        </w:tc>
        <w:tc>
          <w:tcPr>
            <w:tcW w:w="0" w:type="dxa"/>
            <w:vAlign w:val="bottom"/>
          </w:tcPr>
          <w:p>
            <w:pPr>
              <w:spacing w:after="0"/>
              <w:rPr>
                <w:sz w:val="1"/>
                <w:szCs w:val="1"/>
                <w:color w:val="auto"/>
              </w:rPr>
            </w:pP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18,176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7,741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9,664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96,259</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2,450,148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644,455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1,460,412</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532,354</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1,994,755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420,848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20,652</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7,523,624</w:t>
            </w: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charge-offs to loan</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average balance</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(annualized)</w:t>
            </w: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55" w:lineRule="exact"/>
        <w:rPr>
          <w:sz w:val="20"/>
          <w:szCs w:val="20"/>
          <w:color w:val="auto"/>
        </w:rPr>
      </w:pPr>
    </w:p>
    <w:p>
      <w:pPr>
        <w:ind w:left="360" w:right="220" w:hanging="334"/>
        <w:spacing w:after="0" w:line="212" w:lineRule="auto"/>
        <w:tabs>
          <w:tab w:leader="none" w:pos="347"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$36.8 million provision for credit losses on the consolidated statements of income includes a $35.2 million provision for loan credit losses, a $1.6 million provision expense for off-balance sheet commitments and a $4,000 net benefit provision for held to maturity securities credit losses for the three months ended September 30, 2025.</w:t>
      </w:r>
    </w:p>
    <w:p>
      <w:pPr>
        <w:spacing w:after="0" w:line="1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21590</wp:posOffset>
            </wp:positionV>
            <wp:extent cx="5923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23280" cy="889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Single-Family</w:t>
            </w:r>
          </w:p>
        </w:tc>
        <w:tc>
          <w:tcPr>
            <w:tcW w:w="14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Land/ Land</w:t>
            </w:r>
          </w:p>
        </w:tc>
        <w:tc>
          <w:tcPr>
            <w:tcW w:w="11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Warehouse</w:t>
            </w:r>
          </w:p>
        </w:tc>
        <w:tc>
          <w:tcPr>
            <w:tcW w:w="140" w:type="dxa"/>
            <w:vAlign w:val="bottom"/>
          </w:tcPr>
          <w:p>
            <w:pPr>
              <w:spacing w:after="0"/>
              <w:rPr>
                <w:sz w:val="12"/>
                <w:szCs w:val="12"/>
                <w:color w:val="auto"/>
              </w:rPr>
            </w:pPr>
          </w:p>
        </w:tc>
        <w:tc>
          <w:tcPr>
            <w:tcW w:w="86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Lines of Credit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18,929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7,219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9,525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96,782</w:t>
            </w:r>
          </w:p>
        </w:tc>
        <w:tc>
          <w:tcPr>
            <w:tcW w:w="0" w:type="dxa"/>
            <w:vAlign w:val="bottom"/>
          </w:tcPr>
          <w:p>
            <w:pPr>
              <w:spacing w:after="0"/>
              <w:rPr>
                <w:sz w:val="1"/>
                <w:szCs w:val="1"/>
                <w:color w:val="auto"/>
              </w:rPr>
            </w:pPr>
          </w:p>
        </w:tc>
      </w:tr>
      <w:tr>
        <w:trPr>
          <w:trHeight w:val="227"/>
        </w:trPr>
        <w:tc>
          <w:tcPr>
            <w:tcW w:w="1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tcPr>
          <w:p>
            <w:pPr>
              <w:spacing w:after="0"/>
              <w:rPr>
                <w:sz w:val="19"/>
                <w:szCs w:val="19"/>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620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6,812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9,683</w:t>
            </w:r>
          </w:p>
        </w:tc>
        <w:tc>
          <w:tcPr>
            <w:tcW w:w="0" w:type="dxa"/>
            <w:vAlign w:val="bottom"/>
          </w:tcPr>
          <w:p>
            <w:pPr>
              <w:spacing w:after="0"/>
              <w:rPr>
                <w:sz w:val="1"/>
                <w:szCs w:val="1"/>
                <w:color w:val="auto"/>
              </w:rPr>
            </w:pPr>
          </w:p>
        </w:tc>
      </w:tr>
      <w:tr>
        <w:trPr>
          <w:trHeight w:val="232"/>
        </w:trPr>
        <w:tc>
          <w:tcPr>
            <w:tcW w:w="1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3,791</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ind w:left="300"/>
              <w:spacing w:after="0" w:line="230" w:lineRule="exact"/>
              <w:rPr>
                <w:sz w:val="20"/>
                <w:szCs w:val="20"/>
                <w:color w:val="auto"/>
              </w:rPr>
            </w:pPr>
            <w:r>
              <w:rPr>
                <w:rFonts w:ascii="Times New Roman" w:cs="Times New Roman" w:eastAsia="Times New Roman" w:hAnsi="Times New Roman"/>
                <w:sz w:val="16"/>
                <w:szCs w:val="16"/>
                <w:color w:val="auto"/>
              </w:rPr>
              <w:t>Provision</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999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3,041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7,488</w:t>
            </w:r>
          </w:p>
        </w:tc>
        <w:tc>
          <w:tcPr>
            <w:tcW w:w="0" w:type="dxa"/>
            <w:vAlign w:val="bottom"/>
          </w:tcPr>
          <w:p>
            <w:pPr>
              <w:spacing w:after="0"/>
              <w:rPr>
                <w:sz w:val="1"/>
                <w:szCs w:val="1"/>
                <w:color w:val="auto"/>
              </w:rPr>
            </w:pP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18,533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7,230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9,906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54,399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98,378</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2,571,587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682,276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1,436,645</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566,771</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2,151,773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456,508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19,277</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7,884,837</w:t>
            </w:r>
          </w:p>
        </w:tc>
        <w:tc>
          <w:tcPr>
            <w:tcW w:w="0" w:type="dxa"/>
            <w:vAlign w:val="bottom"/>
          </w:tcPr>
          <w:p>
            <w:pPr>
              <w:spacing w:after="0"/>
              <w:rPr>
                <w:sz w:val="1"/>
                <w:szCs w:val="1"/>
                <w:color w:val="auto"/>
              </w:rPr>
            </w:pPr>
          </w:p>
        </w:tc>
      </w:tr>
      <w:tr>
        <w:trPr>
          <w:trHeight w:val="179"/>
        </w:trPr>
        <w:tc>
          <w:tcPr>
            <w:tcW w:w="15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charge-offs to loan</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average balance</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0.10 %</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(annualized)</w:t>
            </w: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37" w:lineRule="exact"/>
        <w:rPr>
          <w:sz w:val="20"/>
          <w:szCs w:val="20"/>
          <w:color w:val="auto"/>
        </w:rPr>
      </w:pPr>
    </w:p>
    <w:p>
      <w:pPr>
        <w:ind w:left="360" w:right="200" w:hanging="334"/>
        <w:spacing w:after="0" w:line="212" w:lineRule="auto"/>
        <w:tabs>
          <w:tab w:leader="none" w:pos="347"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$7.6 million provision for credit losses on the consolidated statements of income includes a $7.5 million provision for loan losses, a $154,000 provision expense for off-balance sheet commitments and a $7,000 net benefit provision for held to maturity securities credit losses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4" w:right="6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21590</wp:posOffset>
            </wp:positionV>
            <wp:extent cx="60864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Single-Family</w:t>
            </w:r>
          </w:p>
        </w:tc>
        <w:tc>
          <w:tcPr>
            <w:tcW w:w="12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Land/ Land</w:t>
            </w:r>
          </w:p>
        </w:tc>
        <w:tc>
          <w:tcPr>
            <w:tcW w:w="12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1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Warehouse</w:t>
            </w:r>
          </w:p>
        </w:tc>
        <w:tc>
          <w:tcPr>
            <w:tcW w:w="140" w:type="dxa"/>
            <w:vAlign w:val="bottom"/>
          </w:tcPr>
          <w:p>
            <w:pPr>
              <w:spacing w:after="0"/>
              <w:rPr>
                <w:sz w:val="12"/>
                <w:szCs w:val="12"/>
                <w:color w:val="auto"/>
              </w:rPr>
            </w:pPr>
          </w:p>
        </w:tc>
        <w:tc>
          <w:tcPr>
            <w:tcW w:w="9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00" w:type="dxa"/>
            <w:vAlign w:val="bottom"/>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Lines of Credit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7,398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91,060</w:t>
            </w:r>
          </w:p>
        </w:tc>
        <w:tc>
          <w:tcPr>
            <w:tcW w:w="0" w:type="dxa"/>
            <w:vAlign w:val="bottom"/>
          </w:tcPr>
          <w:p>
            <w:pPr>
              <w:spacing w:after="0"/>
              <w:rPr>
                <w:sz w:val="1"/>
                <w:szCs w:val="1"/>
                <w:color w:val="auto"/>
              </w:rPr>
            </w:pPr>
          </w:p>
        </w:tc>
      </w:tr>
      <w:tr>
        <w:trPr>
          <w:trHeight w:val="227"/>
        </w:trPr>
        <w:tc>
          <w:tcPr>
            <w:tcW w:w="1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Charge-offs</w:t>
            </w:r>
          </w:p>
        </w:tc>
        <w:tc>
          <w:tcPr>
            <w:tcW w:w="18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40,754</w:t>
            </w:r>
          </w:p>
        </w:tc>
        <w:tc>
          <w:tcPr>
            <w:tcW w:w="0" w:type="dxa"/>
            <w:vAlign w:val="bottom"/>
          </w:tcPr>
          <w:p>
            <w:pPr>
              <w:spacing w:after="0"/>
              <w:rPr>
                <w:sz w:val="1"/>
                <w:szCs w:val="1"/>
                <w:color w:val="auto"/>
              </w:rPr>
            </w:pPr>
          </w:p>
        </w:tc>
      </w:tr>
      <w:tr>
        <w:trPr>
          <w:trHeight w:val="232"/>
        </w:trPr>
        <w:tc>
          <w:tcPr>
            <w:tcW w:w="1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Recoveries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4,343</w:t>
            </w:r>
          </w:p>
        </w:tc>
        <w:tc>
          <w:tcPr>
            <w:tcW w:w="0" w:type="dxa"/>
            <w:vAlign w:val="bottom"/>
          </w:tcPr>
          <w:p>
            <w:pPr>
              <w:spacing w:after="0"/>
              <w:rPr>
                <w:sz w:val="1"/>
                <w:szCs w:val="1"/>
                <w:color w:val="auto"/>
              </w:rPr>
            </w:pPr>
          </w:p>
        </w:tc>
      </w:tr>
      <w:tr>
        <w:trPr>
          <w:trHeight w:val="229"/>
        </w:trPr>
        <w:tc>
          <w:tcPr>
            <w:tcW w:w="1660" w:type="dxa"/>
            <w:vAlign w:val="bottom"/>
            <w:tcBorders>
              <w:bottom w:val="single" w:sz="8" w:color="CCEEFF"/>
            </w:tcBorders>
          </w:tcPr>
          <w:p>
            <w:pPr>
              <w:ind w:left="300"/>
              <w:spacing w:after="0" w:line="230" w:lineRule="exact"/>
              <w:rPr>
                <w:sz w:val="20"/>
                <w:szCs w:val="20"/>
                <w:color w:val="auto"/>
              </w:rPr>
            </w:pPr>
            <w:r>
              <w:rPr>
                <w:rFonts w:ascii="Times New Roman" w:cs="Times New Roman" w:eastAsia="Times New Roman" w:hAnsi="Times New Roman"/>
                <w:sz w:val="16"/>
                <w:szCs w:val="16"/>
                <w:color w:val="auto"/>
              </w:rPr>
              <w:t>Provision</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2,340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36,529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41,610</w:t>
            </w:r>
          </w:p>
        </w:tc>
        <w:tc>
          <w:tcPr>
            <w:tcW w:w="0" w:type="dxa"/>
            <w:vAlign w:val="bottom"/>
          </w:tcPr>
          <w:p>
            <w:pPr>
              <w:spacing w:after="0"/>
              <w:rPr>
                <w:sz w:val="1"/>
                <w:szCs w:val="1"/>
                <w:color w:val="auto"/>
              </w:rPr>
            </w:pPr>
          </w:p>
        </w:tc>
      </w:tr>
      <w:tr>
        <w:trPr>
          <w:trHeight w:val="248"/>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7,741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96,259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balance</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2,435,301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734,621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1,453,765</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499,242</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2,022,286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397,466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21,730</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7,564,411</w:t>
            </w:r>
          </w:p>
        </w:tc>
        <w:tc>
          <w:tcPr>
            <w:tcW w:w="0" w:type="dxa"/>
            <w:vAlign w:val="bottom"/>
          </w:tcPr>
          <w:p>
            <w:pPr>
              <w:spacing w:after="0"/>
              <w:rPr>
                <w:sz w:val="1"/>
                <w:szCs w:val="1"/>
                <w:color w:val="auto"/>
              </w:rPr>
            </w:pPr>
          </w:p>
        </w:tc>
      </w:tr>
      <w:tr>
        <w:trPr>
          <w:trHeight w:val="179"/>
        </w:trPr>
        <w:tc>
          <w:tcPr>
            <w:tcW w:w="16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charge-offs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(recoveries) to loan</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average balance</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0.64 %</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(annualized)</w:t>
            </w: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55" w:lineRule="exact"/>
        <w:rPr>
          <w:sz w:val="20"/>
          <w:szCs w:val="20"/>
          <w:color w:val="auto"/>
        </w:rPr>
      </w:pPr>
    </w:p>
    <w:p>
      <w:pPr>
        <w:ind w:left="360" w:right="500" w:hanging="334"/>
        <w:spacing w:after="0" w:line="212" w:lineRule="auto"/>
        <w:tabs>
          <w:tab w:leader="none" w:pos="34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$43.1 million provision for credit losses on the consolidated statements of income includes a $41.6 million provision for loan credit losses, a $1.5 million and $7,000 net benefit provision for off-balance sheet commitments and held to maturity securities credit losses, respectively, for the nine months ended September 30, 2025.</w:t>
      </w:r>
    </w:p>
    <w:p>
      <w:pPr>
        <w:spacing w:after="0" w:line="25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collateral dependent loans, which are individually evaluated to determine expected credit losses, and the related ALCL allocated to these loans:</w:t>
      </w:r>
    </w:p>
    <w:p>
      <w:pPr>
        <w:spacing w:after="0" w:line="16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21590</wp:posOffset>
            </wp:positionV>
            <wp:extent cx="4474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Commercial Real</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Construction/ Land/</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Single-Family</w:t>
            </w:r>
          </w:p>
        </w:tc>
        <w:tc>
          <w:tcPr>
            <w:tcW w:w="120" w:type="dxa"/>
            <w:vAlign w:val="bottom"/>
          </w:tcPr>
          <w:p>
            <w:pPr>
              <w:spacing w:after="0"/>
              <w:rPr>
                <w:sz w:val="13"/>
                <w:szCs w:val="13"/>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Land Development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ALCL Allocation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516"/>
        </w:trPr>
        <w:tc>
          <w:tcPr>
            <w:tcW w:w="4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Commercial Real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Construction/</w:t>
            </w:r>
          </w:p>
        </w:tc>
        <w:tc>
          <w:tcPr>
            <w:tcW w:w="100" w:type="dxa"/>
            <w:vAlign w:val="bottom"/>
          </w:tcPr>
          <w:p>
            <w:pPr>
              <w:spacing w:after="0"/>
              <w:rPr>
                <w:sz w:val="14"/>
                <w:szCs w:val="14"/>
                <w:color w:val="auto"/>
              </w:rPr>
            </w:pPr>
          </w:p>
        </w:tc>
        <w:tc>
          <w:tcPr>
            <w:tcW w:w="134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auto"/>
              </w:rPr>
              <w:t>Single-Family</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Commercial and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Land/ Land</w:t>
            </w:r>
          </w:p>
        </w:tc>
        <w:tc>
          <w:tcPr>
            <w:tcW w:w="100" w:type="dxa"/>
            <w:vAlign w:val="bottom"/>
          </w:tcPr>
          <w:p>
            <w:pPr>
              <w:spacing w:after="0"/>
              <w:rPr>
                <w:sz w:val="14"/>
                <w:szCs w:val="14"/>
                <w:color w:val="auto"/>
              </w:rPr>
            </w:pPr>
          </w:p>
        </w:tc>
        <w:tc>
          <w:tcPr>
            <w:tcW w:w="13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4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Industrial</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19,418</w:t>
            </w:r>
          </w:p>
        </w:tc>
        <w:tc>
          <w:tcPr>
            <w:tcW w:w="0" w:type="dxa"/>
            <w:vAlign w:val="bottom"/>
          </w:tcPr>
          <w:p>
            <w:pPr>
              <w:spacing w:after="0"/>
              <w:rPr>
                <w:sz w:val="1"/>
                <w:szCs w:val="1"/>
                <w:color w:val="auto"/>
              </w:rPr>
            </w:pPr>
          </w:p>
        </w:tc>
      </w:tr>
      <w:tr>
        <w:trPr>
          <w:trHeight w:val="22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33"/>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26"/>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46"/>
        </w:trPr>
        <w:tc>
          <w:tcPr>
            <w:tcW w:w="4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ALCL Allocation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Collateral-dependent loans consist primarily of residential real estate, commercial real estate and commercial and industrial loans. These loans are individually evaluated when foreclosure is probable or when the repayment of the loan is expected to be provided substantially through the operation or sale of the underlying collateral. In the case of commercial and industrial loans secured by equipment, the fair value of the collateral is estimated by third-party valuation experts. Loan balances are charged down to the underlying collateral value when they are deemed uncollectible. Note that the Company did not elect to use the collateral maintenance agreement practical expedient available under the current expected credit loss (“CECL”) guidance.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Nonaccrual LHFI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Nonaccrual With No</w:t>
            </w:r>
          </w:p>
        </w:tc>
        <w:tc>
          <w:tcPr>
            <w:tcW w:w="120" w:type="dxa"/>
            <w:vAlign w:val="bottom"/>
          </w:tcPr>
          <w:p>
            <w:pPr>
              <w:spacing w:after="0"/>
              <w:rPr>
                <w:sz w:val="16"/>
                <w:szCs w:val="16"/>
                <w:color w:val="auto"/>
              </w:rPr>
            </w:pPr>
          </w:p>
        </w:tc>
        <w:tc>
          <w:tcPr>
            <w:tcW w:w="3340" w:type="dxa"/>
            <w:vAlign w:val="bottom"/>
            <w:gridSpan w:val="4"/>
            <w:vMerge w:val="restart"/>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Total Nonaccrual</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Allowance for Credit Loss</w:t>
            </w:r>
          </w:p>
        </w:tc>
        <w:tc>
          <w:tcPr>
            <w:tcW w:w="120" w:type="dxa"/>
            <w:vAlign w:val="bottom"/>
          </w:tcPr>
          <w:p>
            <w:pPr>
              <w:spacing w:after="0"/>
              <w:rPr>
                <w:sz w:val="18"/>
                <w:szCs w:val="18"/>
                <w:color w:val="auto"/>
              </w:rPr>
            </w:pPr>
          </w:p>
        </w:tc>
        <w:tc>
          <w:tcPr>
            <w:tcW w:w="33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14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20"/>
                <w:szCs w:val="20"/>
                <w:color w:val="auto"/>
              </w:rPr>
            </w:pP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41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13,212</w:t>
            </w:r>
          </w:p>
        </w:tc>
        <w:tc>
          <w:tcPr>
            <w:tcW w:w="0" w:type="dxa"/>
            <w:vAlign w:val="bottom"/>
          </w:tcPr>
          <w:p>
            <w:pPr>
              <w:spacing w:after="0"/>
              <w:rPr>
                <w:sz w:val="1"/>
                <w:szCs w:val="1"/>
                <w:color w:val="auto"/>
              </w:rPr>
            </w:pPr>
          </w:p>
        </w:tc>
      </w:tr>
      <w:tr>
        <w:trPr>
          <w:trHeight w:val="227"/>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16,388</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39,480</w:t>
            </w:r>
          </w:p>
        </w:tc>
        <w:tc>
          <w:tcPr>
            <w:tcW w:w="0" w:type="dxa"/>
            <w:vAlign w:val="bottom"/>
          </w:tcPr>
          <w:p>
            <w:pPr>
              <w:spacing w:after="0"/>
              <w:rPr>
                <w:sz w:val="1"/>
                <w:szCs w:val="1"/>
                <w:color w:val="auto"/>
              </w:rPr>
            </w:pPr>
          </w:p>
        </w:tc>
      </w:tr>
      <w:tr>
        <w:trPr>
          <w:trHeight w:val="22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69,080</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11,919</w:t>
            </w:r>
          </w:p>
        </w:tc>
        <w:tc>
          <w:tcPr>
            <w:tcW w:w="0" w:type="dxa"/>
            <w:vAlign w:val="bottom"/>
          </w:tcPr>
          <w:p>
            <w:pPr>
              <w:spacing w:after="0"/>
              <w:rPr>
                <w:sz w:val="1"/>
                <w:szCs w:val="1"/>
                <w:color w:val="auto"/>
              </w:rPr>
            </w:pP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51"/>
        </w:trPr>
        <w:tc>
          <w:tcPr>
            <w:tcW w:w="4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nonaccrual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All interest formerly accrued but not received for loans placed on nonaccrual status is reversed from interest income. Subsequent receipts on nonaccrual loans are recorded as a reduction of principal, and interest income is recorded only after principal recovery is reasonably assured. Loans are returned to accrual status when all the principal and interest amounts contractually due are brought current and future payments are reasonably assured.</w:t>
      </w:r>
    </w:p>
    <w:p>
      <w:pPr>
        <w:spacing w:after="0" w:line="12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No interest income was recorded on nonaccrual loans while they were considered nonaccrual during the three and nine months ended September 30, 2026 and 2025.</w:t>
      </w:r>
    </w:p>
    <w:p>
      <w:pPr>
        <w:spacing w:after="0" w:line="10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tables below summarize modifications made to borrowers experiencing financial difficulty by loan and modification type during the three and nine months ended September 30,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Other-Than-Insignificant Payment</w:t>
            </w:r>
          </w:p>
        </w:tc>
        <w:tc>
          <w:tcPr>
            <w:tcW w:w="100" w:type="dxa"/>
            <w:vAlign w:val="bottom"/>
          </w:tcPr>
          <w:p>
            <w:pPr>
              <w:spacing w:after="0"/>
              <w:rPr>
                <w:sz w:val="14"/>
                <w:szCs w:val="14"/>
                <w:color w:val="auto"/>
              </w:rPr>
            </w:pPr>
          </w:p>
        </w:tc>
        <w:tc>
          <w:tcPr>
            <w:tcW w:w="2700" w:type="dxa"/>
            <w:vAlign w:val="bottom"/>
            <w:gridSpan w:val="3"/>
          </w:tcPr>
          <w:p>
            <w:pPr>
              <w:jc w:val="center"/>
              <w:ind w:right="59"/>
              <w:spacing w:after="0" w:line="172"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3"/>
            <w:vMerge w:val="restart"/>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0" w:type="dxa"/>
            <w:vAlign w:val="bottom"/>
          </w:tcPr>
          <w:p>
            <w:pPr>
              <w:spacing w:after="0"/>
              <w:rPr>
                <w:sz w:val="1"/>
                <w:szCs w:val="1"/>
                <w:color w:val="auto"/>
              </w:rPr>
            </w:pPr>
          </w:p>
        </w:tc>
      </w:tr>
      <w:tr>
        <w:trPr>
          <w:trHeight w:val="219"/>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9"/>
                <w:szCs w:val="19"/>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of Loans</w:t>
            </w:r>
          </w:p>
        </w:tc>
        <w:tc>
          <w:tcPr>
            <w:tcW w:w="100" w:type="dxa"/>
            <w:vAlign w:val="bottom"/>
          </w:tcPr>
          <w:p>
            <w:pPr>
              <w:spacing w:after="0"/>
              <w:rPr>
                <w:sz w:val="19"/>
                <w:szCs w:val="19"/>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of Loans</w:t>
            </w:r>
          </w:p>
        </w:tc>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9"/>
                <w:szCs w:val="19"/>
                <w:color w:val="auto"/>
              </w:rPr>
            </w:pPr>
          </w:p>
        </w:tc>
        <w:tc>
          <w:tcPr>
            <w:tcW w:w="14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 of Loans</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6"/>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1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4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9,263</w:t>
            </w:r>
          </w:p>
        </w:tc>
        <w:tc>
          <w:tcPr>
            <w:tcW w:w="1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w:t>
            </w:r>
          </w:p>
        </w:tc>
        <w:tc>
          <w:tcPr>
            <w:tcW w:w="14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20,018</w:t>
            </w:r>
          </w:p>
        </w:tc>
        <w:tc>
          <w:tcPr>
            <w:tcW w:w="14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23"/>
        </w:trPr>
        <w:tc>
          <w:tcPr>
            <w:tcW w:w="3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Other-Than-Insignificant Payment Delay</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9"/>
                <w:szCs w:val="19"/>
                <w:color w:val="auto"/>
              </w:rPr>
            </w:pPr>
          </w:p>
        </w:tc>
        <w:tc>
          <w:tcPr>
            <w:tcW w:w="22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of Loans</w:t>
            </w:r>
          </w:p>
        </w:tc>
        <w:tc>
          <w:tcPr>
            <w:tcW w:w="220" w:type="dxa"/>
            <w:vAlign w:val="bottom"/>
          </w:tcPr>
          <w:p>
            <w:pPr>
              <w:spacing w:after="0"/>
              <w:rPr>
                <w:sz w:val="19"/>
                <w:szCs w:val="19"/>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9"/>
                <w:szCs w:val="19"/>
                <w:color w:val="auto"/>
              </w:rPr>
            </w:pPr>
          </w:p>
        </w:tc>
        <w:tc>
          <w:tcPr>
            <w:tcW w:w="19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 of Loans</w:t>
            </w: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r>
      <w:tr>
        <w:trPr>
          <w:trHeight w:val="23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0.04 %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 %</w:t>
            </w:r>
          </w:p>
        </w:tc>
      </w:tr>
      <w:tr>
        <w:trPr>
          <w:trHeight w:val="226"/>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9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9"/>
                <w:szCs w:val="19"/>
                <w:color w:val="auto"/>
              </w:rPr>
            </w:pPr>
          </w:p>
        </w:tc>
        <w:tc>
          <w:tcPr>
            <w:tcW w:w="19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3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Other-Than-Insignificant Payment</w:t>
            </w:r>
          </w:p>
        </w:tc>
        <w:tc>
          <w:tcPr>
            <w:tcW w:w="100" w:type="dxa"/>
            <w:vAlign w:val="bottom"/>
          </w:tcPr>
          <w:p>
            <w:pPr>
              <w:spacing w:after="0"/>
              <w:rPr>
                <w:sz w:val="14"/>
                <w:szCs w:val="14"/>
                <w:color w:val="auto"/>
              </w:rPr>
            </w:pPr>
          </w:p>
        </w:tc>
        <w:tc>
          <w:tcPr>
            <w:tcW w:w="2700" w:type="dxa"/>
            <w:vAlign w:val="bottom"/>
            <w:gridSpan w:val="3"/>
          </w:tcPr>
          <w:p>
            <w:pPr>
              <w:jc w:val="center"/>
              <w:ind w:right="59"/>
              <w:spacing w:after="0" w:line="172"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0" w:type="dxa"/>
            <w:vAlign w:val="bottom"/>
          </w:tcPr>
          <w:p>
            <w:pPr>
              <w:spacing w:after="0"/>
              <w:rPr>
                <w:sz w:val="1"/>
                <w:szCs w:val="1"/>
                <w:color w:val="auto"/>
              </w:rPr>
            </w:pPr>
          </w:p>
        </w:tc>
      </w:tr>
      <w:tr>
        <w:trPr>
          <w:trHeight w:val="214"/>
        </w:trPr>
        <w:tc>
          <w:tcPr>
            <w:tcW w:w="2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0" w:type="dxa"/>
            <w:vAlign w:val="bottom"/>
          </w:tcPr>
          <w:p>
            <w:pPr>
              <w:spacing w:after="0"/>
              <w:rPr>
                <w:sz w:val="1"/>
                <w:szCs w:val="1"/>
                <w:color w:val="auto"/>
              </w:rPr>
            </w:pPr>
          </w:p>
        </w:tc>
      </w:tr>
      <w:tr>
        <w:trPr>
          <w:trHeight w:val="219"/>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 of Loans</w:t>
            </w: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of Loans</w:t>
            </w:r>
          </w:p>
        </w:tc>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9"/>
                <w:szCs w:val="19"/>
                <w:color w:val="auto"/>
              </w:rPr>
            </w:pPr>
          </w:p>
        </w:tc>
        <w:tc>
          <w:tcPr>
            <w:tcW w:w="14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 of Loans</w:t>
            </w:r>
          </w:p>
        </w:tc>
        <w:tc>
          <w:tcPr>
            <w:tcW w:w="0" w:type="dxa"/>
            <w:vAlign w:val="bottom"/>
          </w:tcPr>
          <w:p>
            <w:pPr>
              <w:spacing w:after="0"/>
              <w:rPr>
                <w:sz w:val="1"/>
                <w:szCs w:val="1"/>
                <w:color w:val="auto"/>
              </w:rPr>
            </w:pPr>
          </w:p>
        </w:tc>
      </w:tr>
      <w:tr>
        <w:trPr>
          <w:trHeight w:val="212"/>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4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0.11 %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7"/>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9,610</w:t>
            </w:r>
          </w:p>
        </w:tc>
        <w:tc>
          <w:tcPr>
            <w:tcW w:w="14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4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15,406</w:t>
            </w:r>
          </w:p>
        </w:tc>
        <w:tc>
          <w:tcPr>
            <w:tcW w:w="14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21,230</w:t>
            </w:r>
          </w:p>
        </w:tc>
        <w:tc>
          <w:tcPr>
            <w:tcW w:w="14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60" w:type="dxa"/>
            <w:vAlign w:val="bottom"/>
            <w:tcBorders>
              <w:bottom w:val="single" w:sz="8" w:color="CCEEFF"/>
            </w:tcBorders>
            <w:gridSpan w:val="2"/>
          </w:tcPr>
          <w:p>
            <w:pPr>
              <w:ind w:left="980"/>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36,644</w:t>
            </w: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23"/>
        </w:trPr>
        <w:tc>
          <w:tcPr>
            <w:tcW w:w="3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Other-Than-Insignificant Payment Delay</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9"/>
                <w:szCs w:val="19"/>
                <w:color w:val="auto"/>
              </w:rPr>
            </w:pPr>
          </w:p>
        </w:tc>
        <w:tc>
          <w:tcPr>
            <w:tcW w:w="22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of Loans</w:t>
            </w:r>
          </w:p>
        </w:tc>
        <w:tc>
          <w:tcPr>
            <w:tcW w:w="220" w:type="dxa"/>
            <w:vAlign w:val="bottom"/>
          </w:tcPr>
          <w:p>
            <w:pPr>
              <w:spacing w:after="0"/>
              <w:rPr>
                <w:sz w:val="19"/>
                <w:szCs w:val="19"/>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9"/>
                <w:szCs w:val="19"/>
                <w:color w:val="auto"/>
              </w:rPr>
            </w:pPr>
          </w:p>
        </w:tc>
        <w:tc>
          <w:tcPr>
            <w:tcW w:w="19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 of Loans</w:t>
            </w: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r>
      <w:tr>
        <w:trPr>
          <w:trHeight w:val="23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0.04 %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 %</w:t>
            </w:r>
          </w:p>
        </w:tc>
      </w:tr>
      <w:tr>
        <w:trPr>
          <w:trHeight w:val="226"/>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9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c>
          <w:tcPr>
            <w:tcW w:w="19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3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right="2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tables describe the financial effects of the modifications made to borrowers experiencing financial difficulty during the three and nine months ended September 30,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2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Other-Than-Insignificant Payment</w:t>
            </w:r>
          </w:p>
        </w:tc>
        <w:tc>
          <w:tcPr>
            <w:tcW w:w="28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8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00" w:type="dxa"/>
            <w:vAlign w:val="bottom"/>
            <w:vMerge w:val="restart"/>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2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CCEEFF"/>
            </w:tcBorders>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00" w:type="dxa"/>
            <w:vAlign w:val="bottom"/>
            <w:tcBorders>
              <w:bottom w:val="single" w:sz="8" w:color="CCEEFF"/>
            </w:tcBorders>
          </w:tcPr>
          <w:p>
            <w:pPr>
              <w:spacing w:after="0"/>
              <w:rPr>
                <w:sz w:val="18"/>
                <w:szCs w:val="18"/>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0" w:type="dxa"/>
            <w:vAlign w:val="bottom"/>
          </w:tcPr>
          <w:p>
            <w:pPr>
              <w:spacing w:after="0"/>
              <w:rPr>
                <w:sz w:val="1"/>
                <w:szCs w:val="1"/>
                <w:color w:val="auto"/>
              </w:rPr>
            </w:pPr>
          </w:p>
        </w:tc>
      </w:tr>
      <w:tr>
        <w:trPr>
          <w:trHeight w:val="171"/>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real estate</w:t>
            </w:r>
          </w:p>
        </w:tc>
        <w:tc>
          <w:tcPr>
            <w:tcW w:w="296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Added a weighted average 4.5 months to</w:t>
            </w:r>
          </w:p>
        </w:tc>
        <w:tc>
          <w:tcPr>
            <w:tcW w:w="29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Delayed payment of weighted average 3.0</w:t>
            </w:r>
          </w:p>
        </w:tc>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life of the modified loans</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months</w:t>
            </w:r>
          </w:p>
        </w:tc>
        <w:tc>
          <w:tcPr>
            <w:tcW w:w="2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Construction/land/land</w:t>
            </w:r>
          </w:p>
        </w:tc>
        <w:tc>
          <w:tcPr>
            <w:tcW w:w="2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Added a weighted average 3.1 months to</w:t>
            </w:r>
          </w:p>
        </w:tc>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development</w:t>
            </w: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life of the modified loans</w:t>
            </w:r>
          </w:p>
        </w:tc>
        <w:tc>
          <w:tcPr>
            <w:tcW w:w="2980" w:type="dxa"/>
            <w:vAlign w:val="bottom"/>
            <w:gridSpan w:val="2"/>
            <w:vMerge w:val="continue"/>
          </w:tcPr>
          <w:p>
            <w:pPr>
              <w:spacing w:after="0"/>
              <w:rPr>
                <w:sz w:val="18"/>
                <w:szCs w:val="18"/>
                <w:color w:val="auto"/>
              </w:rPr>
            </w:pPr>
          </w:p>
        </w:tc>
        <w:tc>
          <w:tcPr>
            <w:tcW w:w="2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96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Added a weighted average 17.0 months to</w:t>
            </w:r>
          </w:p>
        </w:tc>
        <w:tc>
          <w:tcPr>
            <w:tcW w:w="2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life of the modified loans</w:t>
            </w:r>
          </w:p>
        </w:tc>
        <w:tc>
          <w:tcPr>
            <w:tcW w:w="2980" w:type="dxa"/>
            <w:vAlign w:val="bottom"/>
            <w:gridSpan w:val="2"/>
            <w:vMerge w:val="continue"/>
            <w:shd w:val="clear" w:color="auto" w:fill="CCEEFF"/>
          </w:tcPr>
          <w:p>
            <w:pPr>
              <w:spacing w:after="0"/>
              <w:rPr>
                <w:sz w:val="18"/>
                <w:szCs w:val="18"/>
                <w:color w:val="auto"/>
              </w:rPr>
            </w:pPr>
          </w:p>
        </w:tc>
        <w:tc>
          <w:tcPr>
            <w:tcW w:w="2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Reduced weighted average contractual</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Added a weighted average 12.0 months to</w:t>
            </w: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interest rate from 8.8% to 6.8%. Added a</w:t>
            </w:r>
          </w:p>
        </w:tc>
        <w:tc>
          <w:tcPr>
            <w:tcW w:w="0" w:type="dxa"/>
            <w:vAlign w:val="bottom"/>
          </w:tcPr>
          <w:p>
            <w:pPr>
              <w:spacing w:after="0"/>
              <w:rPr>
                <w:sz w:val="1"/>
                <w:szCs w:val="1"/>
                <w:color w:val="auto"/>
              </w:rPr>
            </w:pPr>
          </w:p>
        </w:tc>
      </w:tr>
      <w:tr>
        <w:trPr>
          <w:trHeight w:val="162"/>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960" w:type="dxa"/>
            <w:vAlign w:val="bottom"/>
            <w:gridSpan w:val="2"/>
            <w:vMerge w:val="continue"/>
          </w:tcPr>
          <w:p>
            <w:pPr>
              <w:spacing w:after="0"/>
              <w:rPr>
                <w:sz w:val="14"/>
                <w:szCs w:val="14"/>
                <w:color w:val="auto"/>
              </w:rPr>
            </w:pPr>
          </w:p>
        </w:tc>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weighted average 12 months to the life of</w:t>
            </w:r>
          </w:p>
        </w:tc>
        <w:tc>
          <w:tcPr>
            <w:tcW w:w="0" w:type="dxa"/>
            <w:vAlign w:val="bottom"/>
          </w:tcPr>
          <w:p>
            <w:pPr>
              <w:spacing w:after="0"/>
              <w:rPr>
                <w:sz w:val="1"/>
                <w:szCs w:val="1"/>
                <w:color w:val="auto"/>
              </w:rPr>
            </w:pPr>
          </w:p>
        </w:tc>
      </w:tr>
      <w:tr>
        <w:trPr>
          <w:trHeight w:val="213"/>
        </w:trPr>
        <w:tc>
          <w:tcPr>
            <w:tcW w:w="2420" w:type="dxa"/>
            <w:vAlign w:val="bottom"/>
            <w:vMerge w:val="continue"/>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life of the modified loans</w:t>
            </w:r>
          </w:p>
        </w:tc>
        <w:tc>
          <w:tcPr>
            <w:tcW w:w="2980" w:type="dxa"/>
            <w:vAlign w:val="bottom"/>
            <w:gridSpan w:val="2"/>
            <w:vMerge w:val="continue"/>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the modified loans.</w:t>
            </w:r>
          </w:p>
        </w:tc>
        <w:tc>
          <w:tcPr>
            <w:tcW w:w="0" w:type="dxa"/>
            <w:vAlign w:val="bottom"/>
          </w:tcPr>
          <w:p>
            <w:pPr>
              <w:spacing w:after="0"/>
              <w:rPr>
                <w:sz w:val="1"/>
                <w:szCs w:val="1"/>
                <w:color w:val="auto"/>
              </w:rPr>
            </w:pPr>
          </w:p>
        </w:tc>
      </w:tr>
      <w:tr>
        <w:trPr>
          <w:trHeight w:val="178"/>
        </w:trPr>
        <w:tc>
          <w:tcPr>
            <w:tcW w:w="2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29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Delayed payment of weighted average 2.6</w:t>
            </w:r>
          </w:p>
        </w:tc>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960" w:type="dxa"/>
            <w:vAlign w:val="bottom"/>
            <w:gridSpan w:val="2"/>
            <w:vMerge w:val="continue"/>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months</w:t>
            </w:r>
          </w:p>
        </w:tc>
        <w:tc>
          <w:tcPr>
            <w:tcW w:w="2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420" w:type="dxa"/>
            <w:vAlign w:val="bottom"/>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420" w:type="dxa"/>
            <w:vAlign w:val="bottom"/>
            <w:tcBorders>
              <w:bottom w:val="single" w:sz="8" w:color="CCEEFF"/>
            </w:tcBorders>
          </w:tcPr>
          <w:p>
            <w:pPr>
              <w:spacing w:after="0"/>
              <w:rPr>
                <w:sz w:val="19"/>
                <w:szCs w:val="19"/>
                <w:color w:val="auto"/>
              </w:rPr>
            </w:pPr>
          </w:p>
        </w:tc>
        <w:tc>
          <w:tcPr>
            <w:tcW w:w="28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38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Other-Than-Insignificant Payment Delay</w:t>
            </w:r>
          </w:p>
        </w:tc>
        <w:tc>
          <w:tcPr>
            <w:tcW w:w="0" w:type="dxa"/>
            <w:vAlign w:val="bottom"/>
          </w:tcPr>
          <w:p>
            <w:pPr>
              <w:spacing w:after="0"/>
              <w:rPr>
                <w:sz w:val="1"/>
                <w:szCs w:val="1"/>
                <w:color w:val="auto"/>
              </w:rPr>
            </w:pPr>
          </w:p>
        </w:tc>
      </w:tr>
      <w:tr>
        <w:trPr>
          <w:trHeight w:val="172"/>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real estate</w:t>
            </w:r>
          </w:p>
        </w:tc>
        <w:tc>
          <w:tcPr>
            <w:tcW w:w="5940" w:type="dxa"/>
            <w:vAlign w:val="bottom"/>
            <w:gridSpan w:val="7"/>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Added a weighted average 19.0 months to the life of the modified</w:t>
            </w:r>
          </w:p>
        </w:tc>
        <w:tc>
          <w:tcPr>
            <w:tcW w:w="2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Construction/land/land</w:t>
            </w:r>
          </w:p>
        </w:tc>
        <w:tc>
          <w:tcPr>
            <w:tcW w:w="594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auto"/>
              </w:rPr>
              <w:t>Added a weighted average 2.2 months to the life of the modified</w:t>
            </w: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development</w:t>
            </w: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5940" w:type="dxa"/>
            <w:vAlign w:val="bottom"/>
            <w:gridSpan w:val="7"/>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Added a weighted average 11.6 months to the life of the modified</w:t>
            </w:r>
          </w:p>
        </w:tc>
        <w:tc>
          <w:tcPr>
            <w:tcW w:w="2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payment of weighted average 6.0 months</w:t>
            </w:r>
          </w:p>
        </w:tc>
        <w:tc>
          <w:tcPr>
            <w:tcW w:w="0" w:type="dxa"/>
            <w:vAlign w:val="bottom"/>
          </w:tcPr>
          <w:p>
            <w:pPr>
              <w:spacing w:after="0"/>
              <w:rPr>
                <w:sz w:val="1"/>
                <w:szCs w:val="1"/>
                <w:color w:val="auto"/>
              </w:rPr>
            </w:pPr>
          </w:p>
        </w:tc>
      </w:tr>
      <w:tr>
        <w:trPr>
          <w:trHeight w:val="175"/>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94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auto"/>
              </w:rPr>
              <w:t>Added a weighted average 5.0 months to the life of the modified</w:t>
            </w: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20" w:type="dxa"/>
            <w:vAlign w:val="bottom"/>
            <w:vMerge w:val="continue"/>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Delayed payment of weighted average 2.0 months</w:t>
            </w:r>
          </w:p>
        </w:tc>
        <w:tc>
          <w:tcPr>
            <w:tcW w:w="0" w:type="dxa"/>
            <w:vAlign w:val="bottom"/>
          </w:tcPr>
          <w:p>
            <w:pPr>
              <w:spacing w:after="0"/>
              <w:rPr>
                <w:sz w:val="1"/>
                <w:szCs w:val="1"/>
                <w:color w:val="auto"/>
              </w:rPr>
            </w:pPr>
          </w:p>
        </w:tc>
      </w:tr>
      <w:tr>
        <w:trPr>
          <w:trHeight w:val="178"/>
        </w:trPr>
        <w:tc>
          <w:tcPr>
            <w:tcW w:w="2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940" w:type="dxa"/>
            <w:vAlign w:val="bottom"/>
            <w:gridSpan w:val="7"/>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Added a weighted average 1.2 months to the life of the modified</w:t>
            </w:r>
          </w:p>
        </w:tc>
        <w:tc>
          <w:tcPr>
            <w:tcW w:w="2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10"/>
        </w:trPr>
        <w:tc>
          <w:tcPr>
            <w:tcW w:w="24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2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Other-Than-Insignificant Payment</w:t>
            </w:r>
          </w:p>
        </w:tc>
        <w:tc>
          <w:tcPr>
            <w:tcW w:w="2880" w:type="dxa"/>
            <w:vAlign w:val="bottom"/>
            <w:gridSpan w:val="2"/>
          </w:tcPr>
          <w:p>
            <w:pPr>
              <w:jc w:val="center"/>
              <w:ind w:right="40"/>
              <w:spacing w:after="0" w:line="172"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80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4"/>
            <w:vMerge w:val="continue"/>
          </w:tcPr>
          <w:p>
            <w:pPr>
              <w:spacing w:after="0"/>
              <w:rPr>
                <w:sz w:val="14"/>
                <w:szCs w:val="14"/>
                <w:color w:val="auto"/>
              </w:rPr>
            </w:pPr>
          </w:p>
        </w:tc>
        <w:tc>
          <w:tcPr>
            <w:tcW w:w="2880" w:type="dxa"/>
            <w:vAlign w:val="bottom"/>
            <w:gridSpan w:val="2"/>
          </w:tcPr>
          <w:p>
            <w:pPr>
              <w:jc w:val="center"/>
              <w:ind w:right="2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CCEEFF"/>
            </w:tcBorders>
          </w:tcPr>
          <w:p>
            <w:pPr>
              <w:spacing w:after="0"/>
              <w:rPr>
                <w:sz w:val="18"/>
                <w:szCs w:val="18"/>
                <w:color w:val="auto"/>
              </w:rPr>
            </w:pPr>
          </w:p>
        </w:tc>
        <w:tc>
          <w:tcPr>
            <w:tcW w:w="28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Borders>
              <w:bottom w:val="single" w:sz="8" w:color="CCEEFF"/>
            </w:tcBorders>
          </w:tcPr>
          <w:p>
            <w:pPr>
              <w:spacing w:after="0"/>
              <w:rPr>
                <w:sz w:val="18"/>
                <w:szCs w:val="18"/>
                <w:color w:val="auto"/>
              </w:rPr>
            </w:pPr>
          </w:p>
        </w:tc>
        <w:tc>
          <w:tcPr>
            <w:tcW w:w="2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0" w:type="dxa"/>
            <w:vAlign w:val="bottom"/>
          </w:tcPr>
          <w:p>
            <w:pPr>
              <w:spacing w:after="0"/>
              <w:rPr>
                <w:sz w:val="1"/>
                <w:szCs w:val="1"/>
                <w:color w:val="auto"/>
              </w:rPr>
            </w:pPr>
          </w:p>
        </w:tc>
      </w:tr>
      <w:tr>
        <w:trPr>
          <w:trHeight w:val="171"/>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real estate</w:t>
            </w:r>
          </w:p>
        </w:tc>
        <w:tc>
          <w:tcPr>
            <w:tcW w:w="2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Added a weighted average 7.9 months to</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80" w:type="dxa"/>
            <w:vAlign w:val="bottom"/>
            <w:gridSpan w:val="4"/>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Delayed payment of weighted average 8.4</w:t>
            </w:r>
          </w:p>
        </w:tc>
        <w:tc>
          <w:tcPr>
            <w:tcW w:w="2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life of the modified 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months</w:t>
            </w:r>
          </w:p>
        </w:tc>
        <w:tc>
          <w:tcPr>
            <w:tcW w:w="2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Construction/land/land</w:t>
            </w:r>
          </w:p>
        </w:tc>
        <w:tc>
          <w:tcPr>
            <w:tcW w:w="28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Added a weighted average 7.9 months to</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Delayed payment of weighted average 6.0</w:t>
            </w:r>
          </w:p>
        </w:tc>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development</w:t>
            </w: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the life of the modified 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months</w:t>
            </w:r>
          </w:p>
        </w:tc>
        <w:tc>
          <w:tcPr>
            <w:tcW w:w="2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8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Added a weighted average 13.6 months to</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4"/>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Delayed payment of weighted average 3.6</w:t>
            </w:r>
          </w:p>
        </w:tc>
        <w:tc>
          <w:tcPr>
            <w:tcW w:w="2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life of the modified 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months</w:t>
            </w:r>
          </w:p>
        </w:tc>
        <w:tc>
          <w:tcPr>
            <w:tcW w:w="2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Reduced weighted average contractual</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Added a weighted average 9.4 months to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Delayed payment of weighted average 3.0</w:t>
            </w:r>
          </w:p>
        </w:tc>
        <w:tc>
          <w:tcPr>
            <w:tcW w:w="28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interest rate from 8.8% to 6.8%. Added a</w:t>
            </w:r>
          </w:p>
        </w:tc>
        <w:tc>
          <w:tcPr>
            <w:tcW w:w="0" w:type="dxa"/>
            <w:vAlign w:val="bottom"/>
          </w:tcPr>
          <w:p>
            <w:pPr>
              <w:spacing w:after="0"/>
              <w:rPr>
                <w:sz w:val="1"/>
                <w:szCs w:val="1"/>
                <w:color w:val="auto"/>
              </w:rPr>
            </w:pPr>
          </w:p>
        </w:tc>
      </w:tr>
      <w:tr>
        <w:trPr>
          <w:trHeight w:val="162"/>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4"/>
            <w:vMerge w:val="continue"/>
          </w:tcPr>
          <w:p>
            <w:pPr>
              <w:spacing w:after="0"/>
              <w:rPr>
                <w:sz w:val="14"/>
                <w:szCs w:val="14"/>
                <w:color w:val="auto"/>
              </w:rPr>
            </w:pPr>
          </w:p>
        </w:tc>
        <w:tc>
          <w:tcPr>
            <w:tcW w:w="28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weighted average 12 months to the life of</w:t>
            </w:r>
          </w:p>
        </w:tc>
        <w:tc>
          <w:tcPr>
            <w:tcW w:w="0" w:type="dxa"/>
            <w:vAlign w:val="bottom"/>
          </w:tcPr>
          <w:p>
            <w:pPr>
              <w:spacing w:after="0"/>
              <w:rPr>
                <w:sz w:val="1"/>
                <w:szCs w:val="1"/>
                <w:color w:val="auto"/>
              </w:rPr>
            </w:pPr>
          </w:p>
        </w:tc>
      </w:tr>
      <w:tr>
        <w:trPr>
          <w:trHeight w:val="213"/>
        </w:trPr>
        <w:tc>
          <w:tcPr>
            <w:tcW w:w="2420" w:type="dxa"/>
            <w:vAlign w:val="bottom"/>
            <w:vMerge w:val="continue"/>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the life of the modified 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months</w:t>
            </w:r>
          </w:p>
        </w:tc>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modified loans.</w:t>
            </w:r>
          </w:p>
        </w:tc>
        <w:tc>
          <w:tcPr>
            <w:tcW w:w="0" w:type="dxa"/>
            <w:vAlign w:val="bottom"/>
          </w:tcPr>
          <w:p>
            <w:pPr>
              <w:spacing w:after="0"/>
              <w:rPr>
                <w:sz w:val="1"/>
                <w:szCs w:val="1"/>
                <w:color w:val="auto"/>
              </w:rPr>
            </w:pPr>
          </w:p>
        </w:tc>
      </w:tr>
      <w:tr>
        <w:trPr>
          <w:trHeight w:val="178"/>
        </w:trPr>
        <w:tc>
          <w:tcPr>
            <w:tcW w:w="2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8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Added a weighted average 36.0 months to</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4"/>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Delayed payment of weighted average 4.0</w:t>
            </w:r>
          </w:p>
        </w:tc>
        <w:tc>
          <w:tcPr>
            <w:tcW w:w="2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life of the modified 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months</w:t>
            </w:r>
          </w:p>
        </w:tc>
        <w:tc>
          <w:tcPr>
            <w:tcW w:w="2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2025</w:t>
            </w:r>
          </w:p>
        </w:tc>
        <w:tc>
          <w:tcPr>
            <w:tcW w:w="2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420" w:type="dxa"/>
            <w:vAlign w:val="bottom"/>
            <w:tcBorders>
              <w:bottom w:val="single" w:sz="8" w:color="CCEEFF"/>
            </w:tcBorders>
          </w:tcPr>
          <w:p>
            <w:pPr>
              <w:spacing w:after="0"/>
              <w:rPr>
                <w:sz w:val="19"/>
                <w:szCs w:val="19"/>
                <w:color w:val="auto"/>
              </w:rPr>
            </w:pPr>
          </w:p>
        </w:tc>
        <w:tc>
          <w:tcPr>
            <w:tcW w:w="28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3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Other-Than-Insignificant Payment Delay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real estate</w:t>
            </w:r>
          </w:p>
        </w:tc>
        <w:tc>
          <w:tcPr>
            <w:tcW w:w="5940" w:type="dxa"/>
            <w:vAlign w:val="bottom"/>
            <w:gridSpan w:val="7"/>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Added a weighted average 20.9 months to the life of the modified</w:t>
            </w:r>
          </w:p>
        </w:tc>
        <w:tc>
          <w:tcPr>
            <w:tcW w:w="28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5940" w:type="dxa"/>
            <w:vAlign w:val="bottom"/>
            <w:gridSpan w:val="7"/>
          </w:tcPr>
          <w:p>
            <w:pPr>
              <w:ind w:left="20"/>
              <w:spacing w:after="0" w:line="175" w:lineRule="exact"/>
              <w:rPr>
                <w:sz w:val="20"/>
                <w:szCs w:val="20"/>
                <w:color w:val="auto"/>
              </w:rPr>
            </w:pPr>
            <w:r>
              <w:rPr>
                <w:rFonts w:ascii="Times New Roman" w:cs="Times New Roman" w:eastAsia="Times New Roman" w:hAnsi="Times New Roman"/>
                <w:sz w:val="16"/>
                <w:szCs w:val="16"/>
                <w:color w:val="auto"/>
              </w:rPr>
              <w:t>Added a weighted average 2.4 months to the life of the modified</w:t>
            </w: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Construction/land/land development 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5940" w:type="dxa"/>
            <w:vAlign w:val="bottom"/>
            <w:gridSpan w:val="7"/>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Added a weighted average 16.4 months to the life of the modified</w:t>
            </w:r>
          </w:p>
        </w:tc>
        <w:tc>
          <w:tcPr>
            <w:tcW w:w="2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Payment of weighted average 5.3 months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940" w:type="dxa"/>
            <w:vAlign w:val="bottom"/>
            <w:gridSpan w:val="7"/>
          </w:tcPr>
          <w:p>
            <w:pPr>
              <w:ind w:left="20"/>
              <w:spacing w:after="0" w:line="175" w:lineRule="exact"/>
              <w:rPr>
                <w:sz w:val="20"/>
                <w:szCs w:val="20"/>
                <w:color w:val="auto"/>
              </w:rPr>
            </w:pPr>
            <w:r>
              <w:rPr>
                <w:rFonts w:ascii="Times New Roman" w:cs="Times New Roman" w:eastAsia="Times New Roman" w:hAnsi="Times New Roman"/>
                <w:sz w:val="16"/>
                <w:szCs w:val="16"/>
                <w:color w:val="auto"/>
              </w:rPr>
              <w:t>Added a weighted average 8.7 months to the life of the modified</w:t>
            </w: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20" w:type="dxa"/>
            <w:vAlign w:val="bottom"/>
            <w:vMerge w:val="continue"/>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Delayed Payment of weighted average 3.0 months</w:t>
            </w:r>
          </w:p>
        </w:tc>
        <w:tc>
          <w:tcPr>
            <w:tcW w:w="0" w:type="dxa"/>
            <w:vAlign w:val="bottom"/>
          </w:tcPr>
          <w:p>
            <w:pPr>
              <w:spacing w:after="0"/>
              <w:rPr>
                <w:sz w:val="1"/>
                <w:szCs w:val="1"/>
                <w:color w:val="auto"/>
              </w:rPr>
            </w:pPr>
          </w:p>
        </w:tc>
      </w:tr>
      <w:tr>
        <w:trPr>
          <w:trHeight w:val="178"/>
        </w:trPr>
        <w:tc>
          <w:tcPr>
            <w:tcW w:w="2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940" w:type="dxa"/>
            <w:vAlign w:val="bottom"/>
            <w:gridSpan w:val="7"/>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Added a weighted average 1.2 months to the life of the modified</w:t>
            </w:r>
          </w:p>
        </w:tc>
        <w:tc>
          <w:tcPr>
            <w:tcW w:w="2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60" w:type="dxa"/>
            <w:vAlign w:val="bottom"/>
            <w:gridSpan w:val="3"/>
          </w:tcPr>
          <w:p>
            <w:pPr>
              <w:jc w:val="right"/>
              <w:ind w:right="979"/>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4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depicts the performance of loans that have been modified during the last twelve months ended September 30,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6"/>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Payment Status (Amortized Cost Basis)</w:t>
            </w:r>
          </w:p>
        </w:tc>
        <w:tc>
          <w:tcPr>
            <w:tcW w:w="2160" w:type="dxa"/>
            <w:vAlign w:val="bottom"/>
            <w:tcBorders>
              <w:bottom w:val="single" w:sz="8" w:color="auto"/>
            </w:tcBorders>
          </w:tcPr>
          <w:p>
            <w:pPr>
              <w:spacing w:after="0"/>
              <w:rPr>
                <w:sz w:val="18"/>
                <w:szCs w:val="18"/>
                <w:color w:val="auto"/>
              </w:rPr>
            </w:pPr>
          </w:p>
        </w:tc>
      </w:tr>
      <w:tr>
        <w:trPr>
          <w:trHeight w:val="223"/>
        </w:trPr>
        <w:tc>
          <w:tcPr>
            <w:tcW w:w="40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80" w:type="dxa"/>
            <w:vAlign w:val="bottom"/>
          </w:tcPr>
          <w:p>
            <w:pPr>
              <w:spacing w:after="0"/>
              <w:rPr>
                <w:sz w:val="19"/>
                <w:szCs w:val="19"/>
                <w:color w:val="auto"/>
              </w:rPr>
            </w:pP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9"/>
                <w:szCs w:val="19"/>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30-89 Days Past Due</w:t>
            </w:r>
          </w:p>
        </w:tc>
        <w:tc>
          <w:tcPr>
            <w:tcW w:w="180" w:type="dxa"/>
            <w:vAlign w:val="bottom"/>
          </w:tcPr>
          <w:p>
            <w:pPr>
              <w:spacing w:after="0"/>
              <w:rPr>
                <w:sz w:val="19"/>
                <w:szCs w:val="19"/>
                <w:color w:val="auto"/>
              </w:rPr>
            </w:pPr>
          </w:p>
        </w:tc>
        <w:tc>
          <w:tcPr>
            <w:tcW w:w="2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 or More Past Due</w:t>
            </w: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4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r>
      <w:tr>
        <w:trPr>
          <w:trHeight w:val="233"/>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26"/>
        </w:trPr>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4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2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4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w:t>
            </w:r>
          </w:p>
        </w:tc>
      </w:tr>
      <w:tr>
        <w:trPr>
          <w:trHeight w:val="23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27"/>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4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LHFI</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6"/>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Payment Status (Amortized Cost Basis)</w:t>
            </w:r>
          </w:p>
        </w:tc>
        <w:tc>
          <w:tcPr>
            <w:tcW w:w="2160" w:type="dxa"/>
            <w:vAlign w:val="bottom"/>
            <w:tcBorders>
              <w:bottom w:val="single" w:sz="8" w:color="auto"/>
            </w:tcBorders>
          </w:tcPr>
          <w:p>
            <w:pPr>
              <w:spacing w:after="0"/>
              <w:rPr>
                <w:sz w:val="18"/>
                <w:szCs w:val="18"/>
                <w:color w:val="auto"/>
              </w:rPr>
            </w:pPr>
          </w:p>
        </w:tc>
      </w:tr>
      <w:tr>
        <w:trPr>
          <w:trHeight w:val="223"/>
        </w:trPr>
        <w:tc>
          <w:tcPr>
            <w:tcW w:w="40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80" w:type="dxa"/>
            <w:vAlign w:val="bottom"/>
          </w:tcPr>
          <w:p>
            <w:pPr>
              <w:spacing w:after="0"/>
              <w:rPr>
                <w:sz w:val="19"/>
                <w:szCs w:val="19"/>
                <w:color w:val="auto"/>
              </w:rPr>
            </w:pP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9"/>
                <w:szCs w:val="19"/>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30-89 Days Past Due</w:t>
            </w:r>
          </w:p>
        </w:tc>
        <w:tc>
          <w:tcPr>
            <w:tcW w:w="180" w:type="dxa"/>
            <w:vAlign w:val="bottom"/>
          </w:tcPr>
          <w:p>
            <w:pPr>
              <w:spacing w:after="0"/>
              <w:rPr>
                <w:sz w:val="19"/>
                <w:szCs w:val="19"/>
                <w:color w:val="auto"/>
              </w:rPr>
            </w:pPr>
          </w:p>
        </w:tc>
        <w:tc>
          <w:tcPr>
            <w:tcW w:w="2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 or More Past Due</w:t>
            </w: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4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r>
      <w:tr>
        <w:trPr>
          <w:trHeight w:val="233"/>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4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2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4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3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w:t>
            </w:r>
          </w:p>
        </w:tc>
      </w:tr>
      <w:tr>
        <w:trPr>
          <w:trHeight w:val="226"/>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4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LHFI</w:t>
            </w: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the Company had $1.4 million and $52,000 of funding commitments for loans in which the terms were modified as a result of the borrowers experiencing financial difficulty, respectively.</w:t>
      </w:r>
    </w:p>
    <w:p>
      <w:pPr>
        <w:spacing w:after="0" w:line="10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provide the details of loans to borrowers experiencing financial difficulty that experienced a payment default during the three and nine months ended September 30, 2026 and 2025, and were modified in the twelve months prior to that default: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Defaults During the Three Months Ended September 30, 2026</w:t>
            </w:r>
          </w:p>
        </w:tc>
      </w:tr>
      <w:tr>
        <w:trPr>
          <w:trHeight w:val="223"/>
        </w:trPr>
        <w:tc>
          <w:tcPr>
            <w:tcW w:w="6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880" w:type="dxa"/>
            <w:vAlign w:val="bottom"/>
            <w:tcBorders>
              <w:bottom w:val="single" w:sz="8" w:color="auto"/>
            </w:tcBorders>
          </w:tcPr>
          <w:p>
            <w:pPr>
              <w:spacing w:after="0"/>
              <w:rPr>
                <w:sz w:val="19"/>
                <w:szCs w:val="19"/>
                <w:color w:val="auto"/>
              </w:rPr>
            </w:pP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9"/>
                <w:szCs w:val="19"/>
                <w:color w:val="auto"/>
              </w:rPr>
            </w:pPr>
          </w:p>
        </w:tc>
        <w:tc>
          <w:tcPr>
            <w:tcW w:w="23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580" w:type="dxa"/>
            <w:vAlign w:val="bottom"/>
          </w:tcPr>
          <w:p>
            <w:pPr>
              <w:spacing w:after="0"/>
              <w:rPr>
                <w:sz w:val="19"/>
                <w:szCs w:val="19"/>
                <w:color w:val="auto"/>
              </w:rPr>
            </w:pPr>
          </w:p>
        </w:tc>
        <w:tc>
          <w:tcPr>
            <w:tcW w:w="18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Default Amount</w:t>
            </w:r>
          </w:p>
        </w:tc>
      </w:tr>
      <w:tr>
        <w:trPr>
          <w:trHeight w:val="21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2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r>
      <w:tr>
        <w:trPr>
          <w:trHeight w:val="233"/>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w:t>
            </w:r>
          </w:p>
        </w:tc>
      </w:tr>
      <w:tr>
        <w:trPr>
          <w:trHeight w:val="226"/>
        </w:trPr>
        <w:tc>
          <w:tcPr>
            <w:tcW w:w="6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2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8,742</w:t>
            </w:r>
          </w:p>
        </w:tc>
      </w:tr>
      <w:tr>
        <w:trPr>
          <w:trHeight w:val="227"/>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w:t>
            </w:r>
          </w:p>
        </w:tc>
      </w:tr>
      <w:tr>
        <w:trPr>
          <w:trHeight w:val="251"/>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7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6"/>
          <w:szCs w:val="16"/>
          <w:b w:val="1"/>
          <w:bCs w:val="1"/>
          <w:color w:val="auto"/>
        </w:rPr>
        <w:t>Defaults During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31889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3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6"/>
          <w:szCs w:val="16"/>
          <w:b w:val="1"/>
          <w:bCs w:val="1"/>
          <w:color w:val="auto"/>
        </w:rPr>
        <w:t>Term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31889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p>
      <w:pPr>
        <w:spacing w:after="0" w:line="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spacing w:after="0"/>
              <w:rPr>
                <w:sz w:val="18"/>
                <w:szCs w:val="18"/>
                <w:color w:val="auto"/>
              </w:rPr>
            </w:pPr>
          </w:p>
        </w:tc>
        <w:tc>
          <w:tcPr>
            <w:tcW w:w="21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80" w:type="dxa"/>
            <w:vAlign w:val="bottom"/>
          </w:tcPr>
          <w:p>
            <w:pPr>
              <w:spacing w:after="0"/>
              <w:rPr>
                <w:sz w:val="18"/>
                <w:szCs w:val="18"/>
                <w:color w:val="auto"/>
              </w:rPr>
            </w:pPr>
          </w:p>
        </w:tc>
        <w:tc>
          <w:tcPr>
            <w:tcW w:w="20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Default Amount</w:t>
            </w:r>
          </w:p>
        </w:tc>
      </w:tr>
      <w:tr>
        <w:trPr>
          <w:trHeight w:val="436"/>
        </w:trPr>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32"/>
        </w:trPr>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w:t>
            </w:r>
          </w:p>
        </w:tc>
      </w:tr>
      <w:tr>
        <w:trPr>
          <w:trHeight w:val="223"/>
        </w:trPr>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w:t>
            </w:r>
          </w:p>
        </w:tc>
      </w:tr>
      <w:tr>
        <w:trPr>
          <w:trHeight w:val="23"/>
        </w:trPr>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-479425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-187960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Defaults During the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31889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31889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5500" w:space="720"/>
            <w:col w:w="502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Pr>
          <w:p>
            <w:pPr>
              <w:spacing w:after="0"/>
              <w:rPr>
                <w:sz w:val="18"/>
                <w:szCs w:val="18"/>
                <w:color w:val="auto"/>
              </w:rPr>
            </w:pPr>
          </w:p>
        </w:tc>
        <w:tc>
          <w:tcPr>
            <w:tcW w:w="21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80" w:type="dxa"/>
            <w:vAlign w:val="bottom"/>
          </w:tcPr>
          <w:p>
            <w:pPr>
              <w:spacing w:after="0"/>
              <w:rPr>
                <w:sz w:val="18"/>
                <w:szCs w:val="18"/>
                <w:color w:val="auto"/>
              </w:rPr>
            </w:pPr>
          </w:p>
        </w:tc>
        <w:tc>
          <w:tcPr>
            <w:tcW w:w="20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Default Amount</w:t>
            </w:r>
          </w:p>
        </w:tc>
      </w:tr>
      <w:tr>
        <w:trPr>
          <w:trHeight w:val="21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38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r>
      <w:tr>
        <w:trPr>
          <w:trHeight w:val="232"/>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w:t>
            </w:r>
          </w:p>
        </w:tc>
      </w:tr>
      <w:tr>
        <w:trPr>
          <w:trHeight w:val="227"/>
        </w:trPr>
        <w:tc>
          <w:tcPr>
            <w:tcW w:w="6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2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8,742</w:t>
            </w:r>
          </w:p>
        </w:tc>
      </w:tr>
      <w:tr>
        <w:trPr>
          <w:trHeight w:val="227"/>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6,664</w:t>
            </w:r>
          </w:p>
        </w:tc>
      </w:tr>
      <w:tr>
        <w:trPr>
          <w:trHeight w:val="251"/>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Defaults During the Nine Months Ended September 30, 2025</w:t>
            </w:r>
          </w:p>
        </w:tc>
      </w:tr>
      <w:tr>
        <w:trPr>
          <w:trHeight w:val="223"/>
        </w:trPr>
        <w:tc>
          <w:tcPr>
            <w:tcW w:w="6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880" w:type="dxa"/>
            <w:vAlign w:val="bottom"/>
            <w:tcBorders>
              <w:bottom w:val="single" w:sz="8" w:color="auto"/>
            </w:tcBorders>
          </w:tcPr>
          <w:p>
            <w:pPr>
              <w:spacing w:after="0"/>
              <w:rPr>
                <w:sz w:val="19"/>
                <w:szCs w:val="19"/>
                <w:color w:val="auto"/>
              </w:rPr>
            </w:pP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9"/>
                <w:szCs w:val="19"/>
                <w:color w:val="auto"/>
              </w:rPr>
            </w:pPr>
          </w:p>
        </w:tc>
        <w:tc>
          <w:tcPr>
            <w:tcW w:w="23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580" w:type="dxa"/>
            <w:vAlign w:val="bottom"/>
          </w:tcPr>
          <w:p>
            <w:pPr>
              <w:spacing w:after="0"/>
              <w:rPr>
                <w:sz w:val="19"/>
                <w:szCs w:val="19"/>
                <w:color w:val="auto"/>
              </w:rPr>
            </w:pPr>
          </w:p>
        </w:tc>
        <w:tc>
          <w:tcPr>
            <w:tcW w:w="18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Default Amount</w:t>
            </w:r>
          </w:p>
        </w:tc>
      </w:tr>
      <w:tr>
        <w:trPr>
          <w:trHeight w:val="212"/>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26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r>
      <w:tr>
        <w:trPr>
          <w:trHeight w:val="233"/>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27"/>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60" w:type="dxa"/>
            <w:vAlign w:val="bottom"/>
          </w:tcPr>
          <w:p>
            <w:pPr>
              <w:spacing w:after="0"/>
              <w:rPr>
                <w:sz w:val="19"/>
                <w:szCs w:val="19"/>
                <w:color w:val="auto"/>
              </w:rPr>
            </w:pP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26"/>
        </w:trPr>
        <w:tc>
          <w:tcPr>
            <w:tcW w:w="6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260" w:type="dxa"/>
            <w:vAlign w:val="bottom"/>
            <w:tcBorders>
              <w:top w:val="single" w:sz="8" w:color="auto"/>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27"/>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6,680</w:t>
            </w:r>
          </w:p>
        </w:tc>
      </w:tr>
      <w:tr>
        <w:trPr>
          <w:trHeight w:val="251"/>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 payment default is defined as a loan that was 90 or more days past due. The Company monitors the performance of modified loans on an ongoing basis. In the event of subsequent default, the ALCL is assessed on the basis of an individual evaluation in accordance with the Company’s policies, as discussed above. The modifications made during the periods presented did not significantly impact the Company’s determination of the allowance for credit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w:t>
      </w:r>
    </w:p>
    <w:p>
      <w:pPr>
        <w:spacing w:after="0" w:line="17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is expected to be received for an asset or paid to transfer a liability (exit price) in the principal or most advantageous market for the asset or liability in an orderly transaction between market participants on the measurement date. Certain assets and liabilities are recorded in the Company’s consolidated financial statements at fair value. Some are recorded on a recurring basis and some on a nonrecurring basis.</w:t>
      </w:r>
    </w:p>
    <w:p>
      <w:pPr>
        <w:spacing w:after="0" w:line="12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fair value measurement to record fair value adjustments to certain assets and liabilities and to determine fair value disclosures. The determination of fair values of financial instruments often requires the use of estimates. In cases where quoted market values in an active market are not available, the Company utilizes valuation techniques that are consistent with the market approach, the income approach and/or the cost approach to estimate the fair values of its financial instruments. Such valuation techniques are consistently applied.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 hierarchy for fair value has been established, which categorizes the valuation techniques into three levels used to measure fair value. The three levels are as follows: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Fair value is based on unadjusted quoted prices in active markets for identical assets or liabilities.</w:t>
      </w:r>
    </w:p>
    <w:p>
      <w:pPr>
        <w:spacing w:after="0" w:line="171"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Level 2 - Fair value is based on significant other observable inputs that are generally determined based on a single price for each financial instrument provided to the Company by an unrelated third-party pricing service and is based on one or more of the following:</w:t>
      </w:r>
    </w:p>
    <w:p>
      <w:pPr>
        <w:spacing w:after="0" w:line="10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but not identical, assets or liabilities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such as interest rate and yield curves, volatilities, prepayment speeds, loss severities, credit risks and default rates;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inputs derived from or corroborated by observable market inputs.</w:t>
      </w:r>
    </w:p>
    <w:p>
      <w:pPr>
        <w:spacing w:after="0" w:line="17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and unobservable in the market. These instruments are valued using the best information available, some of which is internally developed, and reflects the Company’s own assumptions about the risk premiums that market participants would generally require and the assumptions they would use. These estimates can be inherently uncertain.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 Recorded on a Recurring Basis</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summarize financial assets and financial liabilities recorded at fair value on a recurring basis at September 30, 2026, and December 31, 2025, segregated by the level of valuation inputs within the fair value hierarchy utilized to measure fair value. There were no changes in the valuation techniques during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245,858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32,458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278,316</w:t>
            </w: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49,950</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12,451</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27,154</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411,340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411,340</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96,380</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242,074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242,074</w:t>
            </w:r>
          </w:p>
        </w:tc>
      </w:tr>
      <w:tr>
        <w:trPr>
          <w:trHeight w:val="223"/>
        </w:trPr>
        <w:tc>
          <w:tcPr>
            <w:tcW w:w="4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1,084,207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33,458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1,117,665</w:t>
            </w: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Rabbi Trust assets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 derivatives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18,454</w:t>
            </w: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recurring fair value measurements -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1,102,661</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39,294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1,143,157</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7"/>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 - derivatives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(15,675)</w:t>
            </w:r>
          </w:p>
        </w:tc>
      </w:tr>
      <w:tr>
        <w:trPr>
          <w:trHeight w:val="24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recurring fair value measurements - liabilities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municipal securities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261,042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33,842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294,884</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54,704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55,704</w:t>
            </w: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15,286</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454,485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454,485</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82,793</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210,884</w:t>
            </w:r>
          </w:p>
        </w:tc>
      </w:tr>
      <w:tr>
        <w:trPr>
          <w:trHeight w:val="223"/>
        </w:trPr>
        <w:tc>
          <w:tcPr>
            <w:tcW w:w="4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1,082,334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34,842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1,117,176</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Rabbi Trust assets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 derivatives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w:t>
            </w: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recurring fair value measurements -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1,095,486</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41,057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1,137,382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7"/>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 - derivatives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(13,491)</w:t>
            </w:r>
          </w:p>
        </w:tc>
      </w:tr>
      <w:tr>
        <w:trPr>
          <w:trHeight w:val="24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recurring fair value measurements - liabilities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changes in Level 3 assets and liabilities measured at fair value on a recurring basis for the nine months ended September 30, 2026 and 2025, are summarized below. One corporate bond totaling $5.0 million was transferred from Level 3 to Level 2 as observable pricing information became available during the current quarter following its initial issuance and purchase during the quarter ended June 30, 2026.</w:t>
      </w:r>
    </w:p>
    <w:tbl>
      <w:tblPr>
        <w:tblLayout w:type="fixed"/>
        <w:tblInd w:w="0" w:type="dxa"/>
        <w:tblCellMar>
          <w:top w:w="0" w:type="dxa"/>
          <w:left w:w="0" w:type="dxa"/>
          <w:bottom w:w="0" w:type="dxa"/>
          <w:right w:w="0" w:type="dxa"/>
        </w:tblCellMar>
      </w:tblPr>
      <w:tr>
        <w:trPr>
          <w:trHeight w:val="182"/>
        </w:trPr>
        <w:tc>
          <w:tcPr>
            <w:tcW w:w="7540" w:type="dxa"/>
            <w:vAlign w:val="bottom"/>
          </w:tcPr>
          <w:p>
            <w:pPr>
              <w:spacing w:after="0"/>
              <w:rPr>
                <w:sz w:val="15"/>
                <w:szCs w:val="15"/>
                <w:color w:val="auto"/>
              </w:rPr>
            </w:pPr>
          </w:p>
        </w:tc>
        <w:tc>
          <w:tcPr>
            <w:tcW w:w="190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Securities Available for</w:t>
            </w:r>
          </w:p>
        </w:tc>
        <w:tc>
          <w:tcPr>
            <w:tcW w:w="18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Securities at Fair Value</w:t>
            </w:r>
          </w:p>
        </w:tc>
      </w:tr>
      <w:tr>
        <w:trPr>
          <w:trHeight w:val="214"/>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Sale</w:t>
            </w:r>
          </w:p>
        </w:tc>
        <w:tc>
          <w:tcPr>
            <w:tcW w:w="220" w:type="dxa"/>
            <w:vAlign w:val="bottom"/>
          </w:tcPr>
          <w:p>
            <w:pPr>
              <w:spacing w:after="0"/>
              <w:rPr>
                <w:sz w:val="18"/>
                <w:szCs w:val="18"/>
                <w:color w:val="auto"/>
              </w:rPr>
            </w:pPr>
          </w:p>
        </w:tc>
        <w:tc>
          <w:tcPr>
            <w:tcW w:w="15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Through Income</w:t>
            </w:r>
          </w:p>
        </w:tc>
      </w:tr>
      <w:tr>
        <w:trPr>
          <w:trHeight w:val="225"/>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2026</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r>
      <w:tr>
        <w:trPr>
          <w:trHeight w:val="227"/>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Transfer from Level 3 to Level 2</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recognized in earnings: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7"/>
        </w:trPr>
        <w:tc>
          <w:tcPr>
            <w:tcW w:w="7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noninterest income</w:t>
            </w:r>
          </w:p>
        </w:tc>
        <w:tc>
          <w:tcPr>
            <w:tcW w:w="4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recognized in Accumulated Other Comprehensive Income (“AOCI”)</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issuances, sales and settlements: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3"/>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Purchases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75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Settlements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51"/>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Securities Available for</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Securities at Fair Value</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Pr>
          <w:p>
            <w:pPr>
              <w:spacing w:after="0"/>
              <w:rPr>
                <w:sz w:val="18"/>
                <w:szCs w:val="18"/>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Sale</w:t>
            </w:r>
          </w:p>
        </w:tc>
        <w:tc>
          <w:tcPr>
            <w:tcW w:w="220" w:type="dxa"/>
            <w:vAlign w:val="bottom"/>
          </w:tcPr>
          <w:p>
            <w:pPr>
              <w:spacing w:after="0"/>
              <w:rPr>
                <w:sz w:val="18"/>
                <w:szCs w:val="18"/>
                <w:color w:val="auto"/>
              </w:rPr>
            </w:pPr>
          </w:p>
        </w:tc>
        <w:tc>
          <w:tcPr>
            <w:tcW w:w="15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Through Income</w:t>
            </w:r>
          </w:p>
        </w:tc>
      </w:tr>
      <w:tr>
        <w:trPr>
          <w:trHeight w:val="225"/>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26"/>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recognized in earnings:</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3"/>
        </w:trPr>
        <w:tc>
          <w:tcPr>
            <w:tcW w:w="7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noninterest income</w:t>
            </w:r>
          </w:p>
        </w:tc>
        <w:tc>
          <w:tcPr>
            <w:tcW w:w="4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26"/>
        </w:trPr>
        <w:tc>
          <w:tcPr>
            <w:tcW w:w="7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recognized in AOCI</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issuances, sales and settlements:</w:t>
            </w: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7"/>
        </w:trPr>
        <w:tc>
          <w:tcPr>
            <w:tcW w:w="7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Purchases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Settlements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26"/>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6,203</w:t>
            </w: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obtains fair value measurements for securities available for sale and securities at fair value through income from an independent pricing service; therefore, quantitative unobservable inputs are unknown.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methodologies were used to measure the fair value of financial assets and liabilities valued on a recurring basis: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Available for Sale</w:t>
      </w:r>
    </w:p>
    <w:p>
      <w:pPr>
        <w:spacing w:after="0" w:line="17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Securities classified as available for sale are reported at fair value utilizing Level 1, Level 2 or Level 3 inputs. For Level 1 securities, the Company obtains the fair value measurements for those identical assets from an independent pricing service. For Level 2 securities, the Company obtains fair value measurements from an independent pricing service. The fair value measurements consider observable data that may include dealer quotes, market spreads, cash flows, the U.S. Treasury yield curve, live trading levels, market consensus prepayment speeds, credit information and the security's terms and conditions, among other things. In order to ensure the fair values are consistent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Company periodically checks the fair value by comparing them to other pricing sources, such as Bloomberg LP. The third-party pricing service provides a SOC 1 Type 2 report on its internal controls, which was made available to and reviewed by the Company. In certain cases where Level 2 inputs are not available, securities are classified within Level 3 of the hierarchy. For Level 3 securities, the Company determines the fair value of the instruments based on features such as callability, embedded put options, and prepayment optionality. Instruments with put option features are valued at book value, non-putable instruments are priced mainly using a present value calculation based on the spread to the yield curve.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Fair values for interest rate swap agreements and interest rate lock commitments are based upon the amounts that would be required to settle the contracts. Fair values for risk participations are based on the fair values of the underlying derivative transactions and an assessment of counterparty credit risk. Fair values for interest rate swaps designated as fair value hedges are based upon observable Level 2 inputs such as forward fixed and floating rate projections entered into a discounted cash flow model using factors based upon the market yield curve. Fair values for interest rate options (caps) are based upon observable Level 2 inputs such as forward floating rate and floating rate volatility projections entered into a discounted cash flow model using factors based upon the market yield curve. For further details on interest rate swaps designated as fair value hedges, refer to </w:t>
      </w:r>
      <w:r>
        <w:rPr>
          <w:rFonts w:ascii="Times New Roman" w:cs="Times New Roman" w:eastAsia="Times New Roman" w:hAnsi="Times New Roman"/>
          <w:sz w:val="18"/>
          <w:szCs w:val="18"/>
          <w:i w:val="1"/>
          <w:iCs w:val="1"/>
          <w:color w:val="auto"/>
        </w:rPr>
        <w:t>Note 7 — 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Recorded on a Recurring Basis for which the Fair Value Option has been Elected</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Certain assets are measured at fair value on a recurring basis due to the Company’s election to adopt fair value accounting treatment for those assets. For interest-earning assets for which the fair value has been elected, the earned current contractual interest payment is recognized in interest income. For securities carried at fair value through income,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For the Rabbi Trust assets, the Company has elected the fair value option for these investments in order to align their valuation with the related deferred compensation liabilities. At September 30, 2026, and December 31, 2025 there were no gains or losses recorded attributable to changes in instrument-specific credit risk. The following tables summarize the difference between the fair value and the unpaid principal balance, amortized cost or contributions, respectively, for financial instruments for which the fair value option has been elected: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Fair Value</w:t>
            </w:r>
          </w:p>
        </w:tc>
        <w:tc>
          <w:tcPr>
            <w:tcW w:w="160" w:type="dxa"/>
            <w:vAlign w:val="bottom"/>
          </w:tcPr>
          <w:p>
            <w:pPr>
              <w:spacing w:after="0"/>
              <w:rPr>
                <w:sz w:val="14"/>
                <w:szCs w:val="14"/>
                <w:color w:val="auto"/>
              </w:rPr>
            </w:pPr>
          </w:p>
        </w:tc>
        <w:tc>
          <w:tcPr>
            <w:tcW w:w="174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320" w:type="dxa"/>
            <w:vAlign w:val="bottom"/>
          </w:tcPr>
          <w:p>
            <w:pPr>
              <w:spacing w:after="0"/>
              <w:rPr>
                <w:sz w:val="14"/>
                <w:szCs w:val="14"/>
                <w:color w:val="auto"/>
              </w:rPr>
            </w:pPr>
          </w:p>
        </w:tc>
        <w:tc>
          <w:tcPr>
            <w:tcW w:w="1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0" w:type="dxa"/>
            <w:vAlign w:val="bottom"/>
          </w:tcPr>
          <w:p>
            <w:pPr>
              <w:spacing w:after="0"/>
              <w:rPr>
                <w:sz w:val="1"/>
                <w:szCs w:val="1"/>
                <w:color w:val="auto"/>
              </w:rPr>
            </w:pP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Cost/Contributions</w:t>
            </w:r>
          </w:p>
        </w:tc>
        <w:tc>
          <w:tcPr>
            <w:tcW w:w="3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center"/>
              <w:ind w:left="107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27"/>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Rabbi Trust assets</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1119"/>
              <w:spacing w:after="0"/>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r>
        <w:trPr>
          <w:trHeight w:val="251"/>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center"/>
              <w:ind w:left="1119"/>
              <w:spacing w:after="0"/>
              <w:rPr>
                <w:sz w:val="20"/>
                <w:szCs w:val="20"/>
                <w:color w:val="auto"/>
              </w:rPr>
            </w:pPr>
            <w:r>
              <w:rPr>
                <w:rFonts w:ascii="Times New Roman" w:cs="Times New Roman" w:eastAsia="Times New Roman" w:hAnsi="Times New Roman"/>
                <w:sz w:val="16"/>
                <w:szCs w:val="16"/>
                <w:color w:val="auto"/>
                <w:w w:val="99"/>
              </w:rPr>
              <w:t>26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Fair Value</w:t>
            </w:r>
          </w:p>
        </w:tc>
        <w:tc>
          <w:tcPr>
            <w:tcW w:w="160" w:type="dxa"/>
            <w:vAlign w:val="bottom"/>
          </w:tcPr>
          <w:p>
            <w:pPr>
              <w:spacing w:after="0"/>
              <w:rPr>
                <w:sz w:val="14"/>
                <w:szCs w:val="14"/>
                <w:color w:val="auto"/>
              </w:rPr>
            </w:pPr>
          </w:p>
        </w:tc>
        <w:tc>
          <w:tcPr>
            <w:tcW w:w="174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320" w:type="dxa"/>
            <w:vAlign w:val="bottom"/>
          </w:tcPr>
          <w:p>
            <w:pPr>
              <w:spacing w:after="0"/>
              <w:rPr>
                <w:sz w:val="14"/>
                <w:szCs w:val="14"/>
                <w:color w:val="auto"/>
              </w:rPr>
            </w:pPr>
          </w:p>
        </w:tc>
        <w:tc>
          <w:tcPr>
            <w:tcW w:w="148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0" w:type="dxa"/>
            <w:vAlign w:val="bottom"/>
          </w:tcPr>
          <w:p>
            <w:pPr>
              <w:spacing w:after="0"/>
              <w:rPr>
                <w:sz w:val="1"/>
                <w:szCs w:val="1"/>
                <w:color w:val="auto"/>
              </w:rPr>
            </w:pP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Cost/Contributions</w:t>
            </w:r>
          </w:p>
        </w:tc>
        <w:tc>
          <w:tcPr>
            <w:tcW w:w="3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Rabbi Trust Assets</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51"/>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Changes in the fair value of assets for which the Company elected the fair value option are classified in the </w:t>
      </w:r>
      <w:r>
        <w:rPr>
          <w:rFonts w:ascii="Times New Roman" w:cs="Times New Roman" w:eastAsia="Times New Roman" w:hAnsi="Times New Roman"/>
          <w:sz w:val="18"/>
          <w:szCs w:val="18"/>
          <w:i w:val="1"/>
          <w:iCs w:val="1"/>
          <w:color w:val="auto"/>
        </w:rPr>
        <w:t>Consolidated Statements of Income</w:t>
      </w:r>
      <w:r>
        <w:rPr>
          <w:rFonts w:ascii="Times New Roman" w:cs="Times New Roman" w:eastAsia="Times New Roman" w:hAnsi="Times New Roman"/>
          <w:sz w:val="18"/>
          <w:szCs w:val="18"/>
          <w:color w:val="auto"/>
        </w:rPr>
        <w:t xml:space="preserve"> line items reflected in the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4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Changes in fair value included in noninterest income:</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carried at fair value through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w w:val="97"/>
              </w:rPr>
              <w:t>(36)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7"/>
              </w:rPr>
              <w:t>(15)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7"/>
              </w:rPr>
              <w:t>(49)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fair value option impact on noninterest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center"/>
              <w:ind w:left="959"/>
              <w:spacing w:after="0"/>
              <w:rPr>
                <w:sz w:val="20"/>
                <w:szCs w:val="20"/>
                <w:color w:val="auto"/>
              </w:rPr>
            </w:pPr>
            <w:r>
              <w:rPr>
                <w:rFonts w:ascii="Times New Roman" w:cs="Times New Roman" w:eastAsia="Times New Roman" w:hAnsi="Times New Roman"/>
                <w:sz w:val="16"/>
                <w:szCs w:val="16"/>
                <w:color w:val="auto"/>
                <w:w w:val="97"/>
              </w:rPr>
              <w:t>(36)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w w:val="97"/>
              </w:rPr>
              <w:t>(15)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color w:val="auto"/>
                <w:w w:val="97"/>
              </w:rPr>
              <w:t>(49)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fair value included in noninterest expense: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Rabbi Trust assets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979"/>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7"/>
              </w:rPr>
              <w:t>(17)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7"/>
              </w:rPr>
              <w:t>(22)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6"/>
                <w:szCs w:val="16"/>
                <w:color w:val="auto"/>
              </w:rPr>
              <w:t>Deferred compensation liabilities related to Rabbi Trust assets</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959"/>
              <w:spacing w:after="0"/>
              <w:rPr>
                <w:sz w:val="20"/>
                <w:szCs w:val="20"/>
                <w:color w:val="auto"/>
              </w:rPr>
            </w:pPr>
            <w:r>
              <w:rPr>
                <w:rFonts w:ascii="Times New Roman" w:cs="Times New Roman" w:eastAsia="Times New Roman" w:hAnsi="Times New Roman"/>
                <w:sz w:val="16"/>
                <w:szCs w:val="16"/>
                <w:color w:val="auto"/>
                <w:w w:val="97"/>
              </w:rPr>
              <w:t>(15)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59"/>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option impact on noninterest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Please see the </w:t>
      </w:r>
      <w:r>
        <w:rPr>
          <w:rFonts w:ascii="Times New Roman" w:cs="Times New Roman" w:eastAsia="Times New Roman" w:hAnsi="Times New Roman"/>
          <w:sz w:val="14"/>
          <w:szCs w:val="14"/>
          <w:i w:val="1"/>
          <w:iCs w:val="1"/>
          <w:color w:val="auto"/>
        </w:rPr>
        <w:t>Rabbi Trust</w:t>
      </w:r>
      <w:r>
        <w:rPr>
          <w:rFonts w:ascii="Times New Roman" w:cs="Times New Roman" w:eastAsia="Times New Roman" w:hAnsi="Times New Roman"/>
          <w:sz w:val="14"/>
          <w:szCs w:val="14"/>
          <w:color w:val="auto"/>
        </w:rPr>
        <w:t xml:space="preserve"> section below for more detail on its impact on the Company’s net income.</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methodologies were used to measure the fair value of financial assets valued on a recurring basis for which the fair value option was elected: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at Fair Value through Income</w:t>
      </w:r>
    </w:p>
    <w:p>
      <w:pPr>
        <w:spacing w:after="0" w:line="17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Securities carried at fair value through income are valued using a discounted cash flow with a credit spread applied to each instrument based on the creditworthiness of each issuer. The credit spread was 227 basis points at both September 30, 2026, and December 31, 2025. The Company believes the fair value approximates an exit price.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Rabbi Trust</w:t>
      </w:r>
    </w:p>
    <w:p>
      <w:pPr>
        <w:spacing w:after="0" w:line="17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maintains a Rabbi Trust to fund obligations under the Origin Bank Nonqualified Deferred Compensation Plan. Investments within the Rabbi Trust consist of various mutual funds based on the participants individual investment elections. The Company has elected the fair value option for these investments to align their valuation with the related deferred compensation liabilities. Fair values for the Rabbi Trust investments are valued at the daily closing price as reported by the mutual fund. These assets are included in accrued interest receivable and other assets in the Company’s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while the offsetting deferred compensation liabilities are included in accrued expenses and other liabilities. Compensation (benefit)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associated with the deferred compensation liabilities is offset by loss (gain) from the related security investments Rabbi Trust. The net effect of investment income or loss and related compensation expense or benefit has no impact on the Company’s net income or cash balances because the fair value adjustments for the assets and the change in the liabilities offset each other. Changes in the fair value of the Rabbi Trust assets and changes in the deferred compensation obligation are recognized in salaries and employee benefits in the accompanying </w:t>
      </w:r>
      <w:r>
        <w:rPr>
          <w:rFonts w:ascii="Times New Roman" w:cs="Times New Roman" w:eastAsia="Times New Roman" w:hAnsi="Times New Roman"/>
          <w:sz w:val="18"/>
          <w:szCs w:val="18"/>
          <w:i w:val="1"/>
          <w:iCs w:val="1"/>
          <w:color w:val="auto"/>
        </w:rPr>
        <w:t>Consolidated Statements of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Recorded on a Nonrecurring Basis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equity securities held in other financial institutions</w:t>
      </w:r>
    </w:p>
    <w:p>
      <w:pPr>
        <w:spacing w:after="0" w:line="17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Company’s non-marketable equity securities held in other financial institutions are within Level 2 of the fair value hierarchy and do not have readily determinable fair values. Securities with limited marketability, such as stock in the Federal Reserve Bank of Dallas (“FRBD”) or the FHLB, are carried at cost, less impairment, if any. We believe these amounts approximate the fair value of these securities. To date, no impairment has been recorded on the Company's investments in equity securities that do not have readily determinable fair values.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Individually Evaluated Loans with Credit Losses</w:t>
      </w:r>
    </w:p>
    <w:p>
      <w:pPr>
        <w:spacing w:after="0" w:line="17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Loans for which it is probable that the Company will not collect all principal and interest due according to contractual terms are measured to determine if any credit loss exists. Allowable methods for determining the amount of credit loss include estimating the fair value using the fair value of the collateral for collateral-dependent loans and a discounted cash flow methodology for other evaluated loans that are not collateral dependent. If the loan is identified as collateral-dependent, the fair value method of measuring the amount of credit loss is utilized. Evaluating the fair value of the collateral for collateral-dependent loans requires obtaining a current independent appraisal of the collateral and applying a discount factor to the value. If the loan is not collateral-dependent, the discounted cash flow method is utilized, which involves assumptions and judgments as to credit risk, prepayment risk, liquidity risk, default rates, loss severity, payment speeds, collateral values and discount rate. Loans that have experienced a credit loss with specific allocated losses are within Level 3 of the fair value hierarchy when the credit loss is determined using the fair value method. The fair value of collateral-dependent loans that have specific allocated reserves was approximately $6.2 million and $5.2 million at September 30, 2026, and December 31, 2025,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Non-Financial Assets</w:t>
      </w:r>
    </w:p>
    <w:p>
      <w:pPr>
        <w:spacing w:after="0" w:line="17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Held for sale other real estate owned properties include foreclosed assets and bank-owned real estate, which the Company is no longer utilizing and intends to sell and are the only non-financial assets valued on a nonrecurring basis that are initially recorded by the Company at fair value, less estimated costs to sell. At foreclosure, if the fair value, less estimated costs to sell, of the real estate acquired is less than the Company’s recorded investment in the related loan, a write-down is recognized through a charge to the ALCL. Similarly, real estate-based properties that were formerly operating as bank offices are evaluated at the time the decision is made to sell, and if the fair value, less estimated costs to sell, of the property is less than the Company’s net book value, a write-down is recognized. Additionally, valuations are periodically performed by management, and any subsequent reduction in value is recognized by a charge to income. The carrying value and fair value of foreclosed assets and bank-owned real estate held for sale was estimated using Level 3 inputs based on observable market data and was $2.6 million and $694,000 at September 30, 2026, and December 31, 2025, respectively. At September 30, 2026, and December 31, 2025, the Company had $4.4 million and $5.4 million, respectively, principal amounts of residential mortgage loans in the process of foreclosure.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 Not Recorded at Fair Value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value and estimated fair values of financial instruments not recorded at fair value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72"/>
        </w:trPr>
        <w:tc>
          <w:tcPr>
            <w:tcW w:w="4820" w:type="dxa"/>
            <w:vAlign w:val="bottom"/>
          </w:tcPr>
          <w:p>
            <w:pPr>
              <w:ind w:left="20"/>
              <w:spacing w:after="0" w:line="172" w:lineRule="exact"/>
              <w:rPr>
                <w:sz w:val="20"/>
                <w:szCs w:val="20"/>
                <w:color w:val="auto"/>
              </w:rPr>
            </w:pPr>
            <w:r>
              <w:rPr>
                <w:rFonts w:ascii="Times New Roman" w:cs="Times New Roman" w:eastAsia="Times New Roman" w:hAnsi="Times New Roman"/>
                <w:sz w:val="16"/>
                <w:szCs w:val="16"/>
                <w:color w:val="auto"/>
              </w:rPr>
              <w:t>Financial assets:</w:t>
            </w:r>
          </w:p>
        </w:tc>
        <w:tc>
          <w:tcPr>
            <w:tcW w:w="280" w:type="dxa"/>
            <w:vAlign w:val="bottom"/>
          </w:tcPr>
          <w:p>
            <w:pPr>
              <w:spacing w:after="0"/>
              <w:rPr>
                <w:sz w:val="14"/>
                <w:szCs w:val="14"/>
                <w:color w:val="auto"/>
              </w:rPr>
            </w:pPr>
          </w:p>
        </w:tc>
        <w:tc>
          <w:tcPr>
            <w:tcW w:w="134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4"/>
                <w:szCs w:val="14"/>
                <w:color w:val="auto"/>
              </w:rPr>
            </w:pPr>
          </w:p>
        </w:tc>
        <w:tc>
          <w:tcPr>
            <w:tcW w:w="1380" w:type="dxa"/>
            <w:vAlign w:val="bottom"/>
            <w:gridSpan w:val="2"/>
          </w:tcPr>
          <w:p>
            <w:pPr>
              <w:ind w:left="160"/>
              <w:spacing w:after="0" w:line="172"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280" w:type="dxa"/>
            <w:vAlign w:val="bottom"/>
          </w:tcPr>
          <w:p>
            <w:pPr>
              <w:spacing w:after="0"/>
              <w:rPr>
                <w:sz w:val="14"/>
                <w:szCs w:val="14"/>
                <w:color w:val="auto"/>
              </w:rPr>
            </w:pPr>
          </w:p>
        </w:tc>
        <w:tc>
          <w:tcPr>
            <w:tcW w:w="1360" w:type="dxa"/>
            <w:vAlign w:val="bottom"/>
            <w:gridSpan w:val="2"/>
          </w:tcPr>
          <w:p>
            <w:pPr>
              <w:jc w:val="center"/>
              <w:ind w:right="400"/>
              <w:spacing w:after="0" w:line="17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Pr>
          <w:p>
            <w:pPr>
              <w:spacing w:after="0"/>
              <w:rPr>
                <w:sz w:val="14"/>
                <w:szCs w:val="14"/>
                <w:color w:val="auto"/>
              </w:rPr>
            </w:pPr>
          </w:p>
        </w:tc>
        <w:tc>
          <w:tcPr>
            <w:tcW w:w="1280" w:type="dxa"/>
            <w:vAlign w:val="bottom"/>
          </w:tcPr>
          <w:p>
            <w:pPr>
              <w:jc w:val="right"/>
              <w:ind w:right="339"/>
              <w:spacing w:after="0" w:line="172"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Level 1 inputs:</w:t>
            </w: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2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4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424,217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424,217</w:t>
            </w:r>
          </w:p>
        </w:tc>
      </w:tr>
      <w:tr>
        <w:trPr>
          <w:trHeight w:val="227"/>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Level 2 inputs: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Non-marketable equity securities held in other financial institutions</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31,069</w:t>
            </w:r>
          </w:p>
        </w:tc>
      </w:tr>
      <w:tr>
        <w:trPr>
          <w:trHeight w:val="22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Loans held for sale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3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35,152</w:t>
            </w:r>
          </w:p>
        </w:tc>
      </w:tr>
      <w:tr>
        <w:trPr>
          <w:trHeight w:val="226"/>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Level 3 inputs: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Securities held to maturity</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r>
      <w:tr>
        <w:trPr>
          <w:trHeight w:val="22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LHFI,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7,995,794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7,884,090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7,459,710</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7"/>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Level 2 inputs: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Deposits</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8,673,174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8,667,119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8,307,247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8,302,897</w:t>
            </w:r>
          </w:p>
        </w:tc>
      </w:tr>
      <w:tr>
        <w:trPr>
          <w:trHeight w:val="22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FHLB advances, repurchase agreements and other borrowings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18,989</w:t>
            </w:r>
          </w:p>
        </w:tc>
      </w:tr>
      <w:tr>
        <w:trPr>
          <w:trHeight w:val="23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Subordinated indebtedness</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16,530</w:t>
            </w:r>
          </w:p>
        </w:tc>
      </w:tr>
      <w:tr>
        <w:trPr>
          <w:trHeight w:val="223"/>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r>
    </w:tbl>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Borrowings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Borrowed funds are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FHLB advances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5,913</w:t>
            </w:r>
          </w:p>
        </w:tc>
      </w:tr>
      <w:tr>
        <w:trPr>
          <w:trHeight w:val="226"/>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Overnight repurchase agreements with depositors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13,137</w:t>
            </w:r>
          </w:p>
        </w:tc>
      </w:tr>
      <w:tr>
        <w:trPr>
          <w:trHeight w:val="251"/>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FHLB advances and other borrowings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indebtedness,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16,544</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Line of Credit</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entered into a Loan Agreement (the “Loan Agreement”), along with certain ancillary instruments, with a correspondent financial institution (“Lender”) pursuant to which the Company has the ability to borrow up to $30.0 million under a revolving credit loan. Advances under the Loan Agreement bear interest at a variable rate equal to the then-applicable Prime Rate (as defined in the Loan Agreement) minus 1.00%, subject to a 4.00% floor. The loan matures on June 30, 2027, and is secured by a pledge of the common stock of Origin Bank. The Company had no balance outstanding on this revolving credit loan under the Loan Agreement at September 30,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7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derivative financial instruments to manage risks related to differences in the amount, timing, and duration of the Company’s known or expected cash receipts and its known or expected cash payments, as well as to manage changes in fair values of some assets which are marked at fair value through the consolidated statement of income on a recurring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previously entered into interest rate swap agreements that were designated as cash flow hedges of the Company’s forecasted variable cash flows under variable-rate term borrowing agreements. These swap agreements were terminated during the fourth quarter of 2024. The related after-tax gain of $537,000 recorded at termination is being accreted from accumulated other comprehensive income into earnings over the remaining term of the swap agreements through April 2027.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 of Interest Rate Risk</w:t>
      </w:r>
    </w:p>
    <w:p>
      <w:pPr>
        <w:spacing w:after="0" w:line="16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The Company entered into interest rate swap agreements concurrently with the purchase of certain fixed-rate AFS securities. The hedging strategy converts the fixed interest rates to variable interest rates based on SOFR. These swaps are designated as fair value hedges of interest rate risk, with the objective of mitigating changes in the fair value of the hedged securities attributable to fluctuations in the benchmark interest rate. Under the terms of the swaps, the Company pays a fixed rate and receives a floating rate based on the SOFR Overnight Index Swap (“OIS”) compounded rate. The hedging relationships are expected to be perfectly effective in offsetting changes in the fair value of the hedged securities attributable to movements in the designated benchmark interest rate. These hedges qualify for the shortcut method under applicable accounting guidance. Accordingly, no ongoing quantitative assessment of hedge effectiveness is required for the duration of the hedging relationships.</w:t>
      </w:r>
    </w:p>
    <w:p>
      <w:pPr>
        <w:spacing w:after="0" w:line="13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 interest rate swaps is included in accrued interest receivable and other assets or accrued expenses and other liabilities on the face of the consolidated balance sheets, based on their fair value position as of the reporting date. Changes in the fair value of the interest rate swaps and corresponding basis adjustment to the hedged AFS securities are recorded in earnings and fully offset each other. For additional details regarding the valuation and fair value hierarchy of interest rate swaps designated as fair value hedges, refer to </w:t>
      </w:r>
      <w:r>
        <w:rPr>
          <w:rFonts w:ascii="Times New Roman" w:cs="Times New Roman" w:eastAsia="Times New Roman" w:hAnsi="Times New Roman"/>
          <w:sz w:val="18"/>
          <w:szCs w:val="18"/>
          <w:i w:val="1"/>
          <w:iCs w:val="1"/>
          <w:color w:val="auto"/>
        </w:rPr>
        <w:t>Note 5 — Fair Value of Financial Instruments.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recorded in the consolidated balance sheets related to the cumulative adjustments for fair value hedges at the periods presented.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Cumulative Amount of Fair Value Hedging</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 Amount of the</w:t>
            </w:r>
          </w:p>
        </w:tc>
        <w:tc>
          <w:tcPr>
            <w:tcW w:w="140" w:type="dxa"/>
            <w:vAlign w:val="bottom"/>
          </w:tcPr>
          <w:p>
            <w:pPr>
              <w:spacing w:after="0"/>
              <w:rPr>
                <w:sz w:val="14"/>
                <w:szCs w:val="14"/>
                <w:color w:val="auto"/>
              </w:rPr>
            </w:pPr>
          </w:p>
        </w:tc>
        <w:tc>
          <w:tcPr>
            <w:tcW w:w="3560" w:type="dxa"/>
            <w:vAlign w:val="bottom"/>
            <w:gridSpan w:val="4"/>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4"/>
                <w:szCs w:val="14"/>
                <w:color w:val="auto"/>
              </w:rPr>
            </w:pPr>
          </w:p>
        </w:tc>
        <w:tc>
          <w:tcPr>
            <w:tcW w:w="36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gridSpan w:val="4"/>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Included in the Carrying Amount of the Hedged</w:t>
            </w: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center"/>
              <w:ind w:right="79"/>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Hedged Assets </w:t>
            </w:r>
            <w:r>
              <w:rPr>
                <w:rFonts w:ascii="Times New Roman" w:cs="Times New Roman" w:eastAsia="Times New Roman" w:hAnsi="Times New Roman"/>
                <w:sz w:val="21"/>
                <w:szCs w:val="21"/>
                <w:b w:val="1"/>
                <w:bCs w:val="1"/>
                <w:color w:val="auto"/>
                <w:w w:val="98"/>
                <w:vertAlign w:val="superscript"/>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left="1379"/>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9"/>
                <w:szCs w:val="19"/>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91"/>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218" w:lineRule="auto"/>
        <w:tabs>
          <w:tab w:leader="none" w:pos="32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amortized cost for fair value hedge disclosures. Available-for-sale securities are carried at fair value on the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interest rate derivative program</w:t>
      </w:r>
    </w:p>
    <w:p>
      <w:pPr>
        <w:spacing w:after="0" w:line="17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offers certain derivatives products, primarily interest rate swaps, and from time to time caps and/or floors, directly to qualified commercial banking customers to facilitate their risk management strategies. In most instances, the Company acts only as an intermediary, simultaneously entering into offsetting agreements with unrelated financial institutions, thereby mitigating its net risk exposure resulting from such transactions without significantly impacting its results of operations. Because the interest rate derivatives associated with this program do not meet hedge accounting requirements, changes in the fair value of both the customer derivatives and any offsetting derivatives are recognized directly in earnings as a component of noninterest income.</w:t>
      </w:r>
    </w:p>
    <w:p>
      <w:pPr>
        <w:spacing w:after="0" w:line="13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shares in credit risk on interest rate swap arrangements, by entering into risk participation agreements with syndication partners. These are accounted for at fair value and disclosed as risk participation derivatives.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banking derivatives</w:t>
      </w:r>
    </w:p>
    <w:p>
      <w:pPr>
        <w:spacing w:after="0" w:line="160" w:lineRule="exact"/>
        <w:rPr>
          <w:sz w:val="20"/>
          <w:szCs w:val="20"/>
          <w:color w:val="auto"/>
        </w:rPr>
      </w:pPr>
    </w:p>
    <w:p>
      <w:pPr>
        <w:ind w:right="360" w:firstLine="648"/>
        <w:spacing w:after="0"/>
        <w:rPr>
          <w:sz w:val="20"/>
          <w:szCs w:val="20"/>
          <w:color w:val="auto"/>
        </w:rPr>
      </w:pPr>
      <w:r>
        <w:rPr>
          <w:rFonts w:ascii="Times New Roman" w:cs="Times New Roman" w:eastAsia="Times New Roman" w:hAnsi="Times New Roman"/>
          <w:sz w:val="18"/>
          <w:szCs w:val="18"/>
          <w:color w:val="auto"/>
        </w:rPr>
        <w:t>As part of its mortgage banking and related risk management activities, the Company previously entered into interest rate lock commitment agreements (“IRLCs”) on prospective residential mortgage loans. These IRLCs were derivative financial instruments and the fair value of these IRLCs were included in other assets. During the third quarter of 2025, the Company began utilizing a third-party mortgage company to lock the customer’s interest rates and to purchase the loans the Company originates. As a result, the Company no longer enters into IRLCs with mortgage loan customers.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 Instruments on the Consolidated Balance Sheets</w:t>
      </w:r>
    </w:p>
    <w:p>
      <w:pPr>
        <w:spacing w:after="0" w:line="17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disclose the notional amount and the fair value of derivative instruments in the Company’s consolidated balance sheets at September 30, 2026, and December 31, 2025. Derivative instruments and their related gains and losses are reported in other operating activities, net in the statements of cash flows.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Notional Amounts</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Fair Values</w:t>
            </w:r>
          </w:p>
        </w:tc>
        <w:tc>
          <w:tcPr>
            <w:tcW w:w="0" w:type="dxa"/>
            <w:vAlign w:val="bottom"/>
          </w:tcPr>
          <w:p>
            <w:pPr>
              <w:spacing w:after="0"/>
              <w:rPr>
                <w:sz w:val="1"/>
                <w:szCs w:val="1"/>
                <w:color w:val="auto"/>
              </w:rPr>
            </w:pPr>
          </w:p>
        </w:tc>
      </w:tr>
      <w:tr>
        <w:trPr>
          <w:trHeight w:val="217"/>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Included in other assets:</w:t>
            </w: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20" w:type="dxa"/>
            <w:vAlign w:val="bottom"/>
          </w:tcPr>
          <w:p>
            <w:pPr>
              <w:spacing w:after="0"/>
              <w:rPr>
                <w:sz w:val="18"/>
                <w:szCs w:val="18"/>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66"/>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Derivatives designated as fair value hedging instruments:</w:t>
            </w:r>
          </w:p>
        </w:tc>
        <w:tc>
          <w:tcPr>
            <w:tcW w:w="12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Caps and floors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1"/>
        </w:trPr>
        <w:tc>
          <w:tcPr>
            <w:tcW w:w="4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included in other assets</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Included in other liabilities: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Derivatives designated as fair value hedging instruments: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26"/>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12,975</w:t>
            </w:r>
          </w:p>
        </w:tc>
        <w:tc>
          <w:tcPr>
            <w:tcW w:w="0" w:type="dxa"/>
            <w:vAlign w:val="bottom"/>
          </w:tcPr>
          <w:p>
            <w:pPr>
              <w:spacing w:after="0"/>
              <w:rPr>
                <w:sz w:val="1"/>
                <w:szCs w:val="1"/>
                <w:color w:val="auto"/>
              </w:rPr>
            </w:pPr>
          </w:p>
        </w:tc>
      </w:tr>
      <w:tr>
        <w:trPr>
          <w:trHeight w:val="227"/>
        </w:trPr>
        <w:tc>
          <w:tcPr>
            <w:tcW w:w="4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Caps and floors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Risk participation agreements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included in other liabilities</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471,098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513,483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13,491</w:t>
            </w:r>
          </w:p>
        </w:tc>
        <w:tc>
          <w:tcPr>
            <w:tcW w:w="0" w:type="dxa"/>
            <w:vAlign w:val="bottom"/>
          </w:tcPr>
          <w:p>
            <w:pPr>
              <w:spacing w:after="0"/>
              <w:rPr>
                <w:sz w:val="1"/>
                <w:szCs w:val="1"/>
                <w:color w:val="auto"/>
              </w:rPr>
            </w:pPr>
          </w:p>
        </w:tc>
      </w:tr>
      <w:tr>
        <w:trPr>
          <w:trHeight w:val="21"/>
        </w:trPr>
        <w:tc>
          <w:tcPr>
            <w:tcW w:w="4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w:t>
            </w: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44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340" w:right="60" w:hanging="332"/>
        <w:spacing w:after="0" w:line="302" w:lineRule="auto"/>
        <w:tabs>
          <w:tab w:leader="none" w:pos="327"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Notional or contractual amounts, which represent the extent of involvement in the derivatives market, are used to determine the contractual cash flows required in accordance with the terms of the agreement. These amounts are typically not exchanged, significantly exceed amounts subject to credit or market risk and are not reflected in the consolidated balance sheets.</w:t>
      </w:r>
    </w:p>
    <w:p>
      <w:pPr>
        <w:spacing w:after="0" w:line="23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summarized expected weighted average remaining maturity of the notional amount of interest rate swaps and the weighted average interest rates associated with the amounts expected to be received or paid on interest rate swap agreements are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Maturity (in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Receive Rate</w:t>
            </w:r>
          </w:p>
        </w:tc>
        <w:tc>
          <w:tcPr>
            <w:tcW w:w="100" w:type="dxa"/>
            <w:vAlign w:val="bottom"/>
            <w:vMerge w:val="restart"/>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Pay Rate</w:t>
            </w:r>
          </w:p>
        </w:tc>
        <w:tc>
          <w:tcPr>
            <w:tcW w:w="1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Maturity (in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Receive Rate</w:t>
            </w:r>
          </w:p>
        </w:tc>
        <w:tc>
          <w:tcPr>
            <w:tcW w:w="100" w:type="dxa"/>
            <w:vAlign w:val="bottom"/>
            <w:vMerge w:val="restart"/>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Pay Rate</w:t>
            </w:r>
          </w:p>
        </w:tc>
        <w:tc>
          <w:tcPr>
            <w:tcW w:w="0" w:type="dxa"/>
            <w:vAlign w:val="bottom"/>
          </w:tcPr>
          <w:p>
            <w:pPr>
              <w:spacing w:after="0"/>
              <w:rPr>
                <w:sz w:val="1"/>
                <w:szCs w:val="1"/>
                <w:color w:val="auto"/>
              </w:rPr>
            </w:pPr>
          </w:p>
        </w:tc>
      </w:tr>
      <w:tr>
        <w:trPr>
          <w:trHeight w:val="214"/>
        </w:trPr>
        <w:tc>
          <w:tcPr>
            <w:tcW w:w="2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Interest rate swaps designated as fair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43,940</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100" w:type="dxa"/>
            <w:vAlign w:val="bottom"/>
            <w:shd w:val="clear" w:color="auto" w:fill="CCEEFF"/>
          </w:tcPr>
          <w:p>
            <w:pPr>
              <w:spacing w:after="0"/>
              <w:rPr>
                <w:sz w:val="13"/>
                <w:szCs w:val="13"/>
                <w:color w:val="auto"/>
              </w:rPr>
            </w:pPr>
          </w:p>
        </w:tc>
        <w:tc>
          <w:tcPr>
            <w:tcW w:w="12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3.78 %  $</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43,940</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3.78 %</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value hedge</w:t>
            </w: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Non-hedging interest rate swaps -</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398,735</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5"/>
                <w:szCs w:val="15"/>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5"/>
                <w:szCs w:val="15"/>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403,591</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5"/>
                <w:szCs w:val="15"/>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5"/>
                <w:szCs w:val="15"/>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institution counterparties</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5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Non-hedging interest rate swaps -</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398,735</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403,591</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counterparties</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Non-hedging interest rate caps -</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5"/>
                <w:szCs w:val="15"/>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5"/>
                <w:szCs w:val="15"/>
                <w:color w:val="auto"/>
              </w:rPr>
            </w:pPr>
          </w:p>
        </w:tc>
        <w:tc>
          <w:tcPr>
            <w:tcW w:w="120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5"/>
                <w:szCs w:val="15"/>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5"/>
                <w:szCs w:val="15"/>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financial institution counterparties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Non-hedging interest rate caps -</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customer counterparties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37"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strike rate for interest rate caps, above which the Company will either pay its customer counterparties or receive from its dealer counterparties.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Gains and losses recognized on derivative instruments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Derivatives designated as fair value hedging instruments: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58"/>
        </w:trPr>
        <w:tc>
          <w:tcPr>
            <w:tcW w:w="4160" w:type="dxa"/>
            <w:vAlign w:val="bottom"/>
            <w:shd w:val="clear" w:color="auto" w:fill="CCEEFF"/>
          </w:tcPr>
          <w:p>
            <w:pPr>
              <w:ind w:left="240"/>
              <w:spacing w:after="0" w:line="158" w:lineRule="exact"/>
              <w:rPr>
                <w:sz w:val="20"/>
                <w:szCs w:val="20"/>
                <w:color w:val="auto"/>
              </w:rPr>
            </w:pPr>
            <w:r>
              <w:rPr>
                <w:rFonts w:ascii="Times New Roman" w:cs="Times New Roman" w:eastAsia="Times New Roman" w:hAnsi="Times New Roman"/>
                <w:sz w:val="16"/>
                <w:szCs w:val="16"/>
                <w:color w:val="auto"/>
              </w:rPr>
              <w:t>Amount of (loss) gain recognized in interest income on</w:t>
            </w:r>
          </w:p>
        </w:tc>
        <w:tc>
          <w:tcPr>
            <w:tcW w:w="1080" w:type="dxa"/>
            <w:vAlign w:val="bottom"/>
            <w:vMerge w:val="restart"/>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823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available for sale securities</w:t>
            </w:r>
          </w:p>
        </w:tc>
        <w:tc>
          <w:tcPr>
            <w:tcW w:w="10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40"/>
              <w:spacing w:after="0" w:line="175" w:lineRule="exact"/>
              <w:rPr>
                <w:sz w:val="20"/>
                <w:szCs w:val="20"/>
                <w:color w:val="auto"/>
              </w:rPr>
            </w:pPr>
            <w:r>
              <w:rPr>
                <w:rFonts w:ascii="Times New Roman" w:cs="Times New Roman" w:eastAsia="Times New Roman" w:hAnsi="Times New Roman"/>
                <w:sz w:val="16"/>
                <w:szCs w:val="16"/>
                <w:color w:val="auto"/>
              </w:rPr>
              <w:t>Amount of gain (loss) recognized in interest income on</w:t>
            </w:r>
          </w:p>
        </w:tc>
        <w:tc>
          <w:tcPr>
            <w:tcW w:w="10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center"/>
              <w:ind w:left="799"/>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13"/>
        </w:trPr>
        <w:tc>
          <w:tcPr>
            <w:tcW w:w="4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rate swaps - available for sale securities</w:t>
            </w:r>
          </w:p>
        </w:tc>
        <w:tc>
          <w:tcPr>
            <w:tcW w:w="10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Amount of loss recognized in mortgage banking revenue</w:t>
            </w:r>
          </w:p>
        </w:tc>
        <w:tc>
          <w:tcPr>
            <w:tcW w:w="10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8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78"/>
        </w:trPr>
        <w:tc>
          <w:tcPr>
            <w:tcW w:w="4160" w:type="dxa"/>
            <w:vAlign w:val="bottom"/>
            <w:shd w:val="clear" w:color="auto" w:fill="CCEEFF"/>
          </w:tcPr>
          <w:p>
            <w:pPr>
              <w:ind w:left="240"/>
              <w:spacing w:after="0" w:line="178" w:lineRule="exact"/>
              <w:rPr>
                <w:sz w:val="20"/>
                <w:szCs w:val="20"/>
                <w:color w:val="auto"/>
              </w:rPr>
            </w:pPr>
            <w:r>
              <w:rPr>
                <w:rFonts w:ascii="Times New Roman" w:cs="Times New Roman" w:eastAsia="Times New Roman" w:hAnsi="Times New Roman"/>
                <w:sz w:val="16"/>
                <w:szCs w:val="16"/>
                <w:color w:val="auto"/>
              </w:rPr>
              <w:t>Amount of gain (loss) recognized in other non-interest</w:t>
            </w:r>
          </w:p>
        </w:tc>
        <w:tc>
          <w:tcPr>
            <w:tcW w:w="10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w:t>
            </w:r>
          </w:p>
        </w:tc>
        <w:tc>
          <w:tcPr>
            <w:tcW w:w="10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Some interest rate swaps included in other assets were subject to a master netting arrangement with the counterparty in all periods presented and could be offset against some amounts included in interest rate swaps included in other liabilities. The Company has chosen not to net these exposures in the consolidated balance sheets, and any impact of netting these amounts would not be significant.</w:t>
      </w:r>
    </w:p>
    <w:p>
      <w:pPr>
        <w:spacing w:after="0" w:line="12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At both September 30, 2026, and December 31, 2025, the Company had $3.8 million cash collateral on deposit with swap counterparties. These amounts are included in interest-earning deposits in banks in the consolidated balance sheets and are considered restricted cash until such time as the underlying swaps are settled.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 and Incentive Compensation Plans</w:t>
      </w:r>
    </w:p>
    <w:p>
      <w:pPr>
        <w:spacing w:after="0" w:line="17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granted, and currently has outstanding, stock and incentive compensation awards subject to the provisions of the Company’s 2012 Stock Incentive Plan (the “2012 Plan”), and the Company’s Omnibus Incentive Plan, which was adopted in April 2024 and was amended and restated in April 2026 (the “Omnibus Plan”).</w:t>
      </w:r>
    </w:p>
    <w:p>
      <w:pPr>
        <w:spacing w:after="0" w:line="12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2012 Plan and the Omnibus Plan (collectively, the “Incentive Plans”) are designed to provide flexibility to the Company regarding its ability to motivate, attract and retain the services of key officers, employees and directors. The Incentive Plans allow the Company to make grants of incentive stock options, non-qualified stock options, stock appreciation rights, restricted stock awards (“RSA”), restricted stock units (“RSU”), dividend equivalent rights, performance stock units (“PSU”) or any combination thereof. A maximum of 2,375,000 shares were reserved for issuance under the Incentive Plans. The Omnibus Plan, as amended in April 2026, allows for the issuance of 1,675,000 shares, and no future awards may be granted under the 2012 Plan after adoption of the Omnibus Plan. At September 30, 2026, the maximum number of shares of the Company’s common stock available for grant under the Omnibus Plan was 1,142,515, which reflects the additional 1,000,000 shares available for grant under the Omnibus Plan by amendment of the plan in April 2026.</w:t>
      </w:r>
    </w:p>
    <w:p>
      <w:pPr>
        <w:spacing w:after="0" w:line="13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Additionally, the Company’s shareholders previously approved an employee stock purchase plan (“ESPP”) which qualified as an ESPP under IRS guidelines. The ESPP provides for the purchase of up to an aggregate 1,000,000 shares of the Company’s common stock by employees. Under the ESPP, employees of the Company, who elect to participate, have the right to purchase a limited number of shares of the Company’s common stock at a 15% discount from the lower of the market value of the common stock at the beginning or the end of each one year offering period, beginning on June 1st. The ESPP benefit is treated as compensation expense recognized over the service period based on the grant date fair value of the rights determined at the beginning of the purchase period, adjusted for forfeitures and certain modifications. Forfeitures are recognized as they occur. At September 30, 2026, there was $362,000 of total unrecognized compensation cost related to estimated ESPP shares for the June 1, 2026 - May 31, 2027 ESPP offering period. These costs are expected to be recognized over a period of 0.7 years.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includes the weighted-average assumptions used to calculate the grant date fair value of the ESPP rights for the periods indicated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model: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33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27"/>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r>
      <w:tr>
        <w:trPr>
          <w:trHeight w:val="232"/>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4.49</w:t>
            </w:r>
          </w:p>
        </w:tc>
      </w:tr>
      <w:tr>
        <w:trPr>
          <w:trHeight w:val="224"/>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28.96</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29.61</w:t>
            </w:r>
          </w:p>
        </w:tc>
        <w:tc>
          <w:tcPr>
            <w:tcW w:w="80" w:type="dxa"/>
            <w:vAlign w:val="bottom"/>
          </w:tcPr>
          <w:p>
            <w:pPr>
              <w:spacing w:after="0"/>
              <w:rPr>
                <w:sz w:val="19"/>
                <w:szCs w:val="19"/>
                <w:color w:val="auto"/>
              </w:rPr>
            </w:pPr>
          </w:p>
        </w:tc>
        <w:tc>
          <w:tcPr>
            <w:tcW w:w="1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tcPr>
          <w:p>
            <w:pPr>
              <w:spacing w:after="0"/>
              <w:rPr>
                <w:sz w:val="19"/>
                <w:szCs w:val="19"/>
                <w:color w:val="auto"/>
              </w:rPr>
            </w:pPr>
          </w:p>
        </w:tc>
        <w:tc>
          <w:tcPr>
            <w:tcW w:w="1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30.04</w:t>
            </w:r>
          </w:p>
        </w:tc>
      </w:tr>
    </w:tbl>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ESPP shares purchased are as follows for the dates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3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0" w:type="dxa"/>
            <w:vAlign w:val="bottom"/>
            <w:tcBorders>
              <w:bottom w:val="single" w:sz="8" w:color="auto"/>
            </w:tcBorders>
          </w:tcPr>
          <w:p>
            <w:pPr>
              <w:spacing w:after="0"/>
              <w:rPr>
                <w:sz w:val="18"/>
                <w:szCs w:val="18"/>
                <w:color w:val="auto"/>
              </w:rPr>
            </w:pPr>
          </w:p>
        </w:tc>
      </w:tr>
      <w:tr>
        <w:trPr>
          <w:trHeight w:val="223"/>
        </w:trPr>
        <w:tc>
          <w:tcPr>
            <w:tcW w:w="35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9"/>
                <w:szCs w:val="19"/>
                <w:color w:val="auto"/>
              </w:rPr>
            </w:pPr>
          </w:p>
        </w:tc>
      </w:tr>
      <w:tr>
        <w:trPr>
          <w:trHeight w:val="226"/>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 shares purchased</w:t>
            </w:r>
          </w:p>
        </w:tc>
        <w:tc>
          <w:tcPr>
            <w:tcW w:w="2040" w:type="dxa"/>
            <w:vAlign w:val="bottom"/>
            <w:gridSpan w:val="3"/>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3"/>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58,568</w:t>
            </w:r>
          </w:p>
        </w:tc>
      </w:tr>
      <w:tr>
        <w:trPr>
          <w:trHeight w:val="22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available for issuance under the ESPP</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762,297</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812,472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762,297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812,472</w:t>
            </w:r>
          </w:p>
        </w:tc>
      </w:tr>
    </w:tbl>
    <w:p>
      <w:pPr>
        <w:spacing w:after="0" w:line="23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(“Committee”) has approved, and the Company has granted PSUs to select officers and employees under the Incentive Plans. Each PSU represents a right for the participant to receive shares of Company common stock or cash equal to the fair market value of such stock, as determined by the Committee. The number of PSUs to which the participant may be entitled will vary from 0% to 150% of the target number of PSUs, based on the Company’s achievement of specified performance criteria during the performance period compared to performance benchmarks adopted by the Committee and, further, the participant’s continuous service with the Company through the third anniversary of the date of the grant. Each performance period commences on January 1 and ends three years later on December 31 (“Performance Period”).</w:t>
      </w:r>
    </w:p>
    <w:p>
      <w:pPr>
        <w:spacing w:after="0" w:line="13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December 7, 2022, the Committee and the independent members of the Board also approved a special, one-time stock award to Drake Mills, the Company’s President and Chief Executive Officer (the “One-Time Award”), having an approximate value of $10,000,000, comprised of 129,736 restricted stock units (“CEO RSUs”) and 129,735 market-based performance stock units (“CEO PSUs”), and was effective as of December 13, 2022, (the “Grant Date”). In exchange for the One-Time Award, Mr. Mills agreed to a 2-year non-competition covenant, in addition to the standard non-solicitation of customers and employees covenant included in the Company’s form of award agreement. Pursuant to the One-Time Award, the CEO RSUs shall vest in five approximately equal installments on each of the third, fourth, fifth, sixth and seventh anniversaries of the Grant Date, subject to Mr. Mills’ continued employment with the Company on each respective vesting date, or upon the earlier occurrence of Mr. Mills’ death, disability, termination of employment without cause or resignation for good reason. The CEO PSUs shall be eligible to vest based on achievement of five pre-established stock price hurdles (each, a “Stock Price Hurdle”) during a seven-year performance period (the “CEO Performance Period”). Achievement of each Stock Price Hurdle requires substantial and sustained growth in the Company’s stock price, with each Stock Price Hurdle representing a twenty percent (20%) price appreciation over the 20-day average closing price of the Company’s common stock as of the Grant Date (such that 100% appreciation is required for 100% of the CEO PSUs to vest). Each Stock Price Hurdle must be maintained for 20 consecutive trading days during the CEO Performance Period. Each of the five tranches of CEO PSUs will vest, and become “Achieved PSUs”, on the later of the date that the applicable Stock Price Hurdle is achieved or the third, fourth, fifth, sixth and seventh anniversaries of the Grant Date (provided that the applicable Stock Price Hurdle has been achieved prior to each such anniversary), subject to Mr. Mills’ continued employment with the Company on each respective vesting date, or upon the earlier occurrence of Mr. Mills’ death or disability. If Mr. Mills’ employment is terminated without cause or he resigns for good reason, then any Achieved PSUs will become fully vested and unearned CEO PSUs will remain outstanding and eligible to vest based on achievement of the Stock Price Hurdle during the CEO Performance Period. The One-Time Award was granted pursuant to, and subject to the terms and conditions of, the Origin Bancorp, Inc. 2012 Stock Incentive Plan and the Company’s form of RSU agreement and PSU agreement, respectively.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0000FF"/>
        </w:rPr>
        <w:t>Table of Contents</w:t>
      </w:r>
    </w:p>
    <w:tbl>
      <w:tblPr>
        <w:tblLayout w:type="fixed"/>
        <w:tblInd w:w="0" w:type="dxa"/>
        <w:tblCellMar>
          <w:top w:w="0" w:type="dxa"/>
          <w:left w:w="0" w:type="dxa"/>
          <w:bottom w:w="0" w:type="dxa"/>
          <w:right w:w="0" w:type="dxa"/>
        </w:tblCellMar>
      </w:tblPr>
      <w:tr>
        <w:trPr>
          <w:trHeight w:val="201"/>
        </w:trPr>
        <w:tc>
          <w:tcPr>
            <w:tcW w:w="1220" w:type="dxa"/>
            <w:vAlign w:val="bottom"/>
            <w:tcBorders>
              <w:top w:val="single" w:sz="8" w:color="0000FF"/>
            </w:tcBorders>
          </w:tcPr>
          <w:p>
            <w:pPr>
              <w:spacing w:after="0"/>
              <w:rPr>
                <w:sz w:val="17"/>
                <w:szCs w:val="17"/>
                <w:color w:val="auto"/>
              </w:rPr>
            </w:pPr>
          </w:p>
        </w:tc>
        <w:tc>
          <w:tcPr>
            <w:tcW w:w="1600" w:type="dxa"/>
            <w:vAlign w:val="bottom"/>
          </w:tcPr>
          <w:p>
            <w:pPr>
              <w:spacing w:after="0"/>
              <w:rPr>
                <w:sz w:val="17"/>
                <w:szCs w:val="17"/>
                <w:color w:val="auto"/>
              </w:rPr>
            </w:pPr>
          </w:p>
        </w:tc>
        <w:tc>
          <w:tcPr>
            <w:tcW w:w="5500" w:type="dxa"/>
            <w:vAlign w:val="bottom"/>
            <w:gridSpan w:val="2"/>
          </w:tcPr>
          <w:p>
            <w:pPr>
              <w:jc w:val="center"/>
              <w:ind w:left="33"/>
              <w:spacing w:after="0" w:line="201" w:lineRule="exact"/>
              <w:rPr>
                <w:sz w:val="20"/>
                <w:szCs w:val="20"/>
                <w:color w:val="auto"/>
              </w:rPr>
            </w:pPr>
            <w:r>
              <w:rPr>
                <w:rFonts w:ascii="Times New Roman" w:cs="Times New Roman" w:eastAsia="Times New Roman" w:hAnsi="Times New Roman"/>
                <w:sz w:val="18"/>
                <w:szCs w:val="18"/>
                <w:b w:val="1"/>
                <w:bCs w:val="1"/>
                <w:color w:val="auto"/>
                <w:w w:val="99"/>
              </w:rPr>
              <w:t>ORIGIN BANCORP, INC.</w:t>
            </w:r>
          </w:p>
        </w:tc>
        <w:tc>
          <w:tcPr>
            <w:tcW w:w="2920" w:type="dxa"/>
            <w:vAlign w:val="bottom"/>
          </w:tcPr>
          <w:p>
            <w:pPr>
              <w:spacing w:after="0"/>
              <w:rPr>
                <w:sz w:val="17"/>
                <w:szCs w:val="17"/>
                <w:color w:val="auto"/>
              </w:rPr>
            </w:pPr>
          </w:p>
        </w:tc>
      </w:tr>
      <w:tr>
        <w:trPr>
          <w:trHeight w:val="238"/>
        </w:trPr>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50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tc>
        <w:tc>
          <w:tcPr>
            <w:tcW w:w="2920" w:type="dxa"/>
            <w:vAlign w:val="bottom"/>
          </w:tcPr>
          <w:p>
            <w:pPr>
              <w:spacing w:after="0"/>
              <w:rPr>
                <w:sz w:val="20"/>
                <w:szCs w:val="20"/>
                <w:color w:val="auto"/>
              </w:rPr>
            </w:pPr>
          </w:p>
        </w:tc>
      </w:tr>
      <w:tr>
        <w:trPr>
          <w:trHeight w:val="685"/>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Simulation Inputs</w:t>
            </w:r>
          </w:p>
        </w:tc>
        <w:tc>
          <w:tcPr>
            <w:tcW w:w="5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r>
      <w:tr>
        <w:trPr>
          <w:trHeight w:val="226"/>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13, 2022</w:t>
            </w:r>
          </w:p>
        </w:tc>
      </w:tr>
      <w:tr>
        <w:trPr>
          <w:trHeight w:val="22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Performance period</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seven years</w:t>
            </w:r>
          </w:p>
        </w:tc>
      </w:tr>
      <w:tr>
        <w:trPr>
          <w:trHeight w:val="23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price</w:t>
            </w:r>
          </w:p>
        </w:tc>
        <w:tc>
          <w:tcPr>
            <w:tcW w:w="5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36.87</w:t>
            </w:r>
          </w:p>
        </w:tc>
      </w:tr>
      <w:tr>
        <w:trPr>
          <w:trHeight w:val="229"/>
        </w:trPr>
        <w:tc>
          <w:tcPr>
            <w:tcW w:w="2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Expected volatility </w:t>
            </w:r>
            <w:r>
              <w:rPr>
                <w:rFonts w:ascii="Times New Roman" w:cs="Times New Roman" w:eastAsia="Times New Roman" w:hAnsi="Times New Roman"/>
                <w:sz w:val="21"/>
                <w:szCs w:val="21"/>
                <w:color w:val="auto"/>
                <w:vertAlign w:val="superscript"/>
              </w:rPr>
              <w:t>(1)</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33.0 %</w:t>
            </w:r>
          </w:p>
        </w:tc>
      </w:tr>
      <w:tr>
        <w:trPr>
          <w:trHeight w:val="230"/>
        </w:trPr>
        <w:tc>
          <w:tcPr>
            <w:tcW w:w="28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Risk-free rate </w:t>
            </w:r>
            <w:r>
              <w:rPr>
                <w:rFonts w:ascii="Times New Roman" w:cs="Times New Roman" w:eastAsia="Times New Roman" w:hAnsi="Times New Roman"/>
                <w:sz w:val="21"/>
                <w:szCs w:val="21"/>
                <w:color w:val="auto"/>
                <w:vertAlign w:val="superscript"/>
              </w:rPr>
              <w:t>(2)</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r>
      <w:tr>
        <w:trPr>
          <w:trHeight w:val="241"/>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__________________________</w:t>
            </w: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ind w:left="340" w:hanging="314"/>
        <w:spacing w:after="0" w:line="187" w:lineRule="auto"/>
        <w:tabs>
          <w:tab w:leader="none" w:pos="34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expected volatility was determined based on the historical volatilities of the Company and the specified peer group.</w:t>
      </w:r>
    </w:p>
    <w:p>
      <w:pPr>
        <w:ind w:left="340" w:hanging="314"/>
        <w:spacing w:after="0" w:line="189" w:lineRule="auto"/>
        <w:tabs>
          <w:tab w:leader="none" w:pos="34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risk-free interest rate for the performance period was derived from the seven-year continuous U.S. Treasury Yield constant maturity curve on the valuation date.</w:t>
      </w:r>
    </w:p>
    <w:p>
      <w:pPr>
        <w:spacing w:after="0" w:line="2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market condition for the first tranche of the CEO’s one-time PSU award was satisfied, as the Company’s closing stock price exceeded $46.25 for twenty consecutive trading days during the performance period. Accordingly, 25,947 PSUs vested upon satisfaction of the first market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Performance Stock Grants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Company’s RSAs and RSUs are time-vested awards and are granted to the Company’s Board of Directors, executives and senior management team. The service period in which time-vested awards are earned ranges from one to seven years. Time-vested awards are valued utilizing the fair value of the Company’s stock at the grant date. These awards are recognized on the straight-line method over the requisite service period, with forfeitures recognized as they occur.</w:t>
      </w:r>
    </w:p>
    <w:p>
      <w:pPr>
        <w:spacing w:after="0" w:line="126"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color w:val="auto"/>
        </w:rPr>
        <w:t>The Company’s PSU awards, excluding the CEO PSUs, are three-year cliff-vested awards, with each unit divided into two categories (“ROAA Unit Group” and “ROAE Unit Group”), composed of an equivalent number of initial PSUs granted. The PSU share amounts do not reflect potential increases or decreases resulting from the interim performance results until the final performance results are determined at the end of the three-year period. The ROAA Unit Group is based upon the Company’s Performance Period Return on Average Assets performance, as defined in the award agreement, and the ROAE Unit Group is based upon the Company’s Performance Period Return on Average Equity performance, as defined in the award agreement. The PSUs are initially valued utilizing the fair value of the Company’s stock at the grant date, assuming 100% of the target number of units are achieved. Subsequent valuation of the PSUs is determined using the ratio of the actual Company’s Performance Period ROAA or ROAE to the Company’s targeted Performance Period ROAA or ROAE. The determination of whether and to what extent the performance criteria has been satisfied during the applicable Performance Period shall be made by the Compensation Committee, in its sole and absolute discretion, including disregarding certain nonrecurring, unusual or infrequent items in the ROAA or ROAE calculation as described further in the PSU award agreement. Forfeitures are recognized as they occur.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award activity: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79"/>
              <w:spacing w:after="0" w:line="17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54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156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474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RSAs, January 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0" w:type="dxa"/>
            <w:vAlign w:val="bottom"/>
          </w:tcPr>
          <w:p>
            <w:pPr>
              <w:spacing w:after="0"/>
              <w:rPr>
                <w:sz w:val="1"/>
                <w:szCs w:val="1"/>
                <w:color w:val="auto"/>
              </w:rPr>
            </w:pPr>
          </w:p>
        </w:tc>
      </w:tr>
      <w:tr>
        <w:trPr>
          <w:trHeight w:val="22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 RSAs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0" w:type="dxa"/>
            <w:vAlign w:val="bottom"/>
          </w:tcPr>
          <w:p>
            <w:pPr>
              <w:spacing w:after="0"/>
              <w:rPr>
                <w:sz w:val="1"/>
                <w:szCs w:val="1"/>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RSAs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 RSAs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0" w:type="dxa"/>
            <w:vAlign w:val="bottom"/>
          </w:tcPr>
          <w:p>
            <w:pPr>
              <w:spacing w:after="0"/>
              <w:rPr>
                <w:sz w:val="1"/>
                <w:szCs w:val="1"/>
                <w:color w:val="auto"/>
              </w:rPr>
            </w:pPr>
          </w:p>
        </w:tc>
      </w:tr>
      <w:tr>
        <w:trPr>
          <w:trHeight w:val="251"/>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RSAs, September 30,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RSUs, January 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337,631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352,002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 RSUs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0" w:type="dxa"/>
            <w:vAlign w:val="bottom"/>
          </w:tcPr>
          <w:p>
            <w:pPr>
              <w:spacing w:after="0"/>
              <w:rPr>
                <w:sz w:val="1"/>
                <w:szCs w:val="1"/>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RSUs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 RSUs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0" w:type="dxa"/>
            <w:vAlign w:val="bottom"/>
          </w:tcPr>
          <w:p>
            <w:pPr>
              <w:spacing w:after="0"/>
              <w:rPr>
                <w:sz w:val="1"/>
                <w:szCs w:val="1"/>
                <w:color w:val="auto"/>
              </w:rPr>
            </w:pPr>
          </w:p>
        </w:tc>
      </w:tr>
      <w:tr>
        <w:trPr>
          <w:trHeight w:val="251"/>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RSUs, September 30,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PSUs, January 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293,918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265,197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 PSUs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Vested PSUs</w:t>
            </w:r>
            <w:r>
              <w:rPr>
                <w:rFonts w:ascii="Times New Roman" w:cs="Times New Roman" w:eastAsia="Times New Roman" w:hAnsi="Times New Roman"/>
                <w:sz w:val="21"/>
                <w:szCs w:val="21"/>
                <w:color w:val="auto"/>
                <w:vertAlign w:val="superscript"/>
              </w:rPr>
              <w:t>(1)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Forfeited PSUs</w:t>
            </w:r>
            <w:r>
              <w:rPr>
                <w:rFonts w:ascii="Times New Roman" w:cs="Times New Roman" w:eastAsia="Times New Roman" w:hAnsi="Times New Roman"/>
                <w:sz w:val="21"/>
                <w:szCs w:val="21"/>
                <w:color w:val="auto"/>
                <w:vertAlign w:val="superscript"/>
              </w:rPr>
              <w:t>(2)</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PSUs, September 30,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w:t>
      </w:r>
    </w:p>
    <w:p>
      <w:pPr>
        <w:spacing w:after="0" w:line="26"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PSUs vested during the nine months ended September 30, 2026, represent the first tranche of the CEO's one-time PSU award discussed above.</w:t>
      </w:r>
    </w:p>
    <w:p>
      <w:pPr>
        <w:spacing w:after="0" w:line="11" w:lineRule="exact"/>
        <w:rPr>
          <w:rFonts w:ascii="Times New Roman" w:cs="Times New Roman" w:eastAsia="Times New Roman" w:hAnsi="Times New Roman"/>
          <w:sz w:val="9"/>
          <w:szCs w:val="9"/>
          <w:color w:val="auto"/>
        </w:rPr>
      </w:pPr>
    </w:p>
    <w:p>
      <w:pPr>
        <w:ind w:left="320" w:hanging="312"/>
        <w:spacing w:after="0" w:line="192" w:lineRule="auto"/>
        <w:tabs>
          <w:tab w:leader="none" w:pos="32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PSUs forfeited during the nine months ended September 30, 2026 and 2025, includes forfeiture of incremental shares upon final measurement of performance metrics.</w:t>
      </w:r>
    </w:p>
    <w:p>
      <w:pPr>
        <w:spacing w:after="0" w:line="154"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2026, there was $281,000, $10.3 million and $4.7 million of total unrecognized compensation cost related to nonvested RSA shares, RSU shares and PSU shares under the Incentive Plans, respectively. Those costs are expected to be recognized over a weighted-average period of 0.56, 2.26 and 2.03 years for RSA, RSU and PSU shares, respectively.</w:t>
      </w:r>
    </w:p>
    <w:p>
      <w:pPr>
        <w:spacing w:after="0" w:line="12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Share-based compensation cost charged to income for the three and nine months ended September 30, 2026 and 2025, is presented below. There was no stock option expense for any of the periods shown.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Pr>
          <w:p>
            <w:pPr>
              <w:spacing w:after="0"/>
              <w:rPr>
                <w:sz w:val="18"/>
                <w:szCs w:val="18"/>
                <w:color w:val="auto"/>
              </w:rPr>
            </w:pPr>
          </w:p>
        </w:tc>
        <w:tc>
          <w:tcPr>
            <w:tcW w:w="3860" w:type="dxa"/>
            <w:vAlign w:val="bottom"/>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RSA &amp; RSU</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0" w:type="dxa"/>
            <w:vAlign w:val="bottom"/>
          </w:tcPr>
          <w:p>
            <w:pPr>
              <w:spacing w:after="0"/>
              <w:rPr>
                <w:sz w:val="1"/>
                <w:szCs w:val="1"/>
                <w:color w:val="auto"/>
              </w:rPr>
            </w:pPr>
          </w:p>
        </w:tc>
      </w:tr>
      <w:tr>
        <w:trPr>
          <w:trHeight w:val="226"/>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PSU</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26"/>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 compensation expense</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Related tax benefits recognized in net</w:t>
            </w:r>
          </w:p>
        </w:tc>
        <w:tc>
          <w:tcPr>
            <w:tcW w:w="4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42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Grants</w:t>
      </w:r>
    </w:p>
    <w:p>
      <w:pPr>
        <w:spacing w:after="0" w:line="1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had previously issued common stock options to select officers and employees primarily through individual agreements. All of the options are fully vested, and as of September 30, 2026, fully exercised, and there are no options outstanding, excluding the options assumed in conjunction with the BTH merger that occurred on August 1, 2022. As of September 30, 2026, BTH converted options have no expiration dates past February 16, 2031, and no further grants will be made under the BTH 2012 Equity Incentive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Company’s option activity: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5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32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at January 1, 2026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184,670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6"/>
                <w:szCs w:val="16"/>
                <w:color w:val="auto"/>
                <w:w w:val="99"/>
              </w:rPr>
              <w:t>2.97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27"/>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100" w:type="dxa"/>
            <w:vAlign w:val="bottom"/>
          </w:tcPr>
          <w:p>
            <w:pPr>
              <w:spacing w:after="0"/>
              <w:rPr>
                <w:sz w:val="19"/>
                <w:szCs w:val="19"/>
                <w:color w:val="auto"/>
              </w:rPr>
            </w:pPr>
          </w:p>
        </w:tc>
        <w:tc>
          <w:tcPr>
            <w:tcW w:w="1640" w:type="dxa"/>
            <w:vAlign w:val="bottom"/>
            <w:gridSpan w:val="2"/>
          </w:tcPr>
          <w:p>
            <w:pPr>
              <w:jc w:val="center"/>
              <w:ind w:lef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Expired and 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and exercisable at September 30, 2026</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00" w:type="dxa"/>
            <w:vAlign w:val="bottom"/>
          </w:tcPr>
          <w:p>
            <w:pPr>
              <w:spacing w:after="0"/>
              <w:rPr>
                <w:sz w:val="19"/>
                <w:szCs w:val="19"/>
                <w:color w:val="auto"/>
              </w:rPr>
            </w:pPr>
          </w:p>
        </w:tc>
        <w:tc>
          <w:tcPr>
            <w:tcW w:w="152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2.89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at January 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6"/>
                <w:szCs w:val="16"/>
                <w:color w:val="auto"/>
                <w:w w:val="99"/>
              </w:rPr>
              <w:t>3.72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26"/>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00" w:type="dxa"/>
            <w:vAlign w:val="bottom"/>
          </w:tcPr>
          <w:p>
            <w:pPr>
              <w:spacing w:after="0"/>
              <w:rPr>
                <w:sz w:val="19"/>
                <w:szCs w:val="19"/>
                <w:color w:val="auto"/>
              </w:rPr>
            </w:pPr>
          </w:p>
        </w:tc>
        <w:tc>
          <w:tcPr>
            <w:tcW w:w="1640" w:type="dxa"/>
            <w:vAlign w:val="bottom"/>
            <w:gridSpan w:val="2"/>
          </w:tcPr>
          <w:p>
            <w:pPr>
              <w:jc w:val="center"/>
              <w:ind w:lef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Expired and 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and exercisable at September 30,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tcPr>
          <w:p>
            <w:pPr>
              <w:spacing w:after="0"/>
              <w:rPr>
                <w:sz w:val="19"/>
                <w:szCs w:val="19"/>
                <w:color w:val="auto"/>
              </w:rPr>
            </w:pPr>
          </w:p>
        </w:tc>
        <w:tc>
          <w:tcPr>
            <w:tcW w:w="152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2.99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Accumulated Other Comprehensive Loss</w:t>
      </w:r>
    </w:p>
    <w:p>
      <w:pPr>
        <w:spacing w:after="0" w:line="17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includes the after-tax change in unrealized gains and losses on AFS securities and cash flow hedging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Unrealized Loss on AFS</w:t>
            </w: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Gain on Cash</w:t>
            </w:r>
          </w:p>
        </w:tc>
        <w:tc>
          <w:tcPr>
            <w:tcW w:w="140" w:type="dxa"/>
            <w:vAlign w:val="bottom"/>
          </w:tcPr>
          <w:p>
            <w:pPr>
              <w:spacing w:after="0"/>
              <w:rPr>
                <w:sz w:val="16"/>
                <w:szCs w:val="16"/>
                <w:color w:val="auto"/>
              </w:rPr>
            </w:pP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8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140" w:type="dxa"/>
            <w:vAlign w:val="bottom"/>
          </w:tcPr>
          <w:p>
            <w:pPr>
              <w:spacing w:after="0"/>
              <w:rPr>
                <w:sz w:val="18"/>
                <w:szCs w:val="18"/>
                <w:color w:val="auto"/>
              </w:rPr>
            </w:pPr>
          </w:p>
        </w:tc>
        <w:tc>
          <w:tcPr>
            <w:tcW w:w="16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Comprehensive Loss</w:t>
            </w:r>
          </w:p>
        </w:tc>
      </w:tr>
      <w:tr>
        <w:trPr>
          <w:trHeight w:val="225"/>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2026</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tcBorders>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w w:val="99"/>
              </w:rPr>
              <w:t>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(54,141)</w:t>
            </w:r>
          </w:p>
        </w:tc>
      </w:tr>
      <w:tr>
        <w:trPr>
          <w:trHeight w:val="227"/>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change</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1019"/>
              <w:spacing w:after="0"/>
              <w:rPr>
                <w:sz w:val="20"/>
                <w:szCs w:val="20"/>
                <w:color w:val="auto"/>
              </w:rPr>
            </w:pPr>
            <w:r>
              <w:rPr>
                <w:rFonts w:ascii="Times New Roman" w:cs="Times New Roman" w:eastAsia="Times New Roman" w:hAnsi="Times New Roman"/>
                <w:sz w:val="16"/>
                <w:szCs w:val="16"/>
                <w:color w:val="auto"/>
                <w:w w:val="97"/>
              </w:rPr>
              <w:t>(165)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(42,269)</w:t>
            </w:r>
          </w:p>
        </w:tc>
      </w:tr>
      <w:tr>
        <w:trPr>
          <w:trHeight w:val="251"/>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w w:val="99"/>
              </w:rPr>
              <w:t>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(106,029)</w:t>
            </w:r>
          </w:p>
        </w:tc>
      </w:tr>
      <w:tr>
        <w:trPr>
          <w:trHeight w:val="22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change</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1019"/>
              <w:spacing w:after="0"/>
              <w:rPr>
                <w:sz w:val="20"/>
                <w:szCs w:val="20"/>
                <w:color w:val="auto"/>
              </w:rPr>
            </w:pPr>
            <w:r>
              <w:rPr>
                <w:rFonts w:ascii="Times New Roman" w:cs="Times New Roman" w:eastAsia="Times New Roman" w:hAnsi="Times New Roman"/>
                <w:sz w:val="16"/>
                <w:szCs w:val="16"/>
                <w:color w:val="auto"/>
                <w:w w:val="97"/>
              </w:rPr>
              <w:t>(165)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44,865</w:t>
            </w:r>
          </w:p>
        </w:tc>
      </w:tr>
      <w:tr>
        <w:trPr>
          <w:trHeight w:val="251"/>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w w:val="99"/>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(61,164)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Capital and Regulatory Matters</w:t>
      </w:r>
    </w:p>
    <w:p>
      <w:pPr>
        <w:spacing w:after="0" w:line="17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(on a consolidated basis) and the Bank are subject to various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1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Basel III regulatory capital framework (“Basel III Capital Rules”), which includes a 2.5% capital conservation buffer. The capital conservation buffer is designed to absorb losses during periods of economic stress and requires increased capital levels for the purpose of capital distributions and other payments. Failure to meet the full amount of the buffer will result in restrictions on the Company’s ability to make capital distributions, which include dividend payments, share repurchases and discretionary bonuses to executive officers.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the Bank to maintain minimum amounts and ratios (set forth in the table below) of total, common equity Tier 1 and Tier 1 capital to risk-weighted assets (as defined), and of Tier 1 capital (as defined) to average total consolidated assets (as defined). Management believes, at September 30, 2026, and December 31, 2025, that the Company and the Bank met all capital adequacy requirements to which they are subject, including the capital buffer requirement.</w:t>
      </w:r>
    </w:p>
    <w:p>
      <w:pPr>
        <w:spacing w:after="0" w:line="12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2026, and December 31, 2025, the Bank’s capital ratios exceeded those levels necessary to be categorized as “well capitalized” under the regulatory framework for prompt corrective action. To be categorized as “well capitalized,” the Bank must maintain minimum total risk-based, common equity Tier 1 risk-based, Tier 1 risk-based and Tier 1 leverage ratios as set forth in the table below.</w:t>
      </w:r>
    </w:p>
    <w:p>
      <w:pPr>
        <w:spacing w:after="0" w:line="122"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actual capital amounts and ratios of the Company and the Bank at September 30, 2026, and December 31, 2025, are presented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Minimum Capital Required -</w:t>
            </w:r>
          </w:p>
        </w:tc>
        <w:tc>
          <w:tcPr>
            <w:tcW w:w="22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 be Well Capitalized Under</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Prompt Corrective Action</w:t>
            </w: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Basel III</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Provisions</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to Risk-Weighted Assets</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6"/>
              </w:rPr>
              <w:t>Ratio</w:t>
            </w: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1,203,300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13.74 %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6"/>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1,134,963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1,212,674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1,134,963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738,682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695,230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1,319,761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7"/>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1,236,688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869,071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1,212,674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11.98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1,134,963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502,196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to Risk-Weighted Assets</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1,139,627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13.54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584,801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543,029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1,155,628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6"/>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1,255,717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14.91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1,154,368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13.82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877,205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835,433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 Bancorp, Inc.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1,155,628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Origin Bank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10.91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depends on dividends from the Bank to provide funds for the payment of dividends to shareholders and to provide for other cash requirements.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and paid exceed the Bank’s year-to-date net income combined with the retained net income for the preceding year, which was $38.1 million at September 30, 2026.</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7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July 2025, the Board of Directors of the Company authorized a share repurchase program pursuant to which the Company may, from time to time, purchase up to $50.0 million of its outstanding common stock. In July 2026, the Company’s Board of Directors approved a $100.0 million increase in repurchase authority under the share repurchase program. The shares may be repurchased in the open market or in privately negotiated transactions from time to time, depending upon market conditions and other factors, and in accordance with applicable regulations of the Securities and Exchange Commission. The share repurchase program expires in July 2028 but may be terminated or amended by the Board of Directors at any time. The share repurchase program does not obligate the Company to purchase any shares at any time.</w:t>
      </w:r>
    </w:p>
    <w:p>
      <w:pPr>
        <w:spacing w:after="0" w:line="133"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third quarter ended September 30, 2026, the Company repurchased a total of 272,927 shares of its common stock pursuant to the share repurchase program at an average price per share of $54.21, for an aggregate purchase price of $14.8 million, including broker commissions and applicable excise taxes. Year-to-date share repurchases through September 30, 2026, totaled 655,461 shares of common stock at an average price per share of $48.42, for an aggregate purchase price of $31.7 million, including broker commissions and applicable excise taxes. There was $106.8 million remaining available for repurchase at September 30, 2026.</w:t>
      </w:r>
    </w:p>
    <w:p>
      <w:pPr>
        <w:spacing w:after="0" w:line="1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the Company repurchased a total of 265,248 shares of its common stock pursuant to its July 2025 share repurchase program at an average price per share of $35.85, for an aggregate purchase price of $9.5 million, including broker commissions and applicable excise taxes. Year-to-date 2025 share repurchases totaled 401,647 shares of common stock at an average price per share of $34.59, for an aggregate purchase price of $13.9 million, including broker commissions and applicable excise taxes.</w:t>
      </w:r>
    </w:p>
    <w:p>
      <w:pPr>
        <w:spacing w:after="0" w:line="12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July 2022, the Board of Directors of the Company authorized a share repurchase program pursuant to which the Company was authorized to purchase up to $50.0 million of its outstanding common stock. The July 2022 repurchase plan expired in July 2025 with the Company having repurchased a total of 136,399 shares of its common stock at an average price per share of $32.13, for an aggregate purchase price of $4.4 million, including broker commissions and applicable excise taxes. All the common stock repurchases executed under the July 2022 repurchase plan were completed during the second quarter of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Credit-Related Commitments</w:t>
      </w:r>
    </w:p>
    <w:p>
      <w:pPr>
        <w:spacing w:after="0" w:line="17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financial instruments, such as commitments to extend credit and letters of credit, to meet the financing needs of its customers. Such instruments are not reflected in the accompanying consolidated financial statements until they are funded, although they expose the Company to varying degrees of credit risk and interest rate risk in much the same way as funded loans.</w:t>
      </w:r>
    </w:p>
    <w:p>
      <w:pPr>
        <w:spacing w:after="0" w:line="12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Commitments to extend credit include revolving commercial credit lines, non-revolving loan commitments issued mainly to finance the merger and development or construction of real property or equipment, and credit card and personal credit lines. The availability of funds under commercial credit lines and loan commitments generally depends on whether the borrower continues to meet credit standards established in the underlying contract and has not violated other contractual conditions. Loan commitments generally have fixed expiration dates or other termination clauses and may require payment of a fee by the borrower. Credit card and personal credit lines are generally subject to cancellation if the borrower’s credit quality deteriorates. A number of commercial and personal credit lines are used only partially or, in some cases, not at all before they expire, and the total commitment amounts do not necessarily represent future cash requirements of the Company.</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 substantial majority of the letters of credit are standby agreements that obligate the Company to fulfill a customer’s financial commitments to a third party if the customer is unable to perform. The Company issues standby letters of credit primarily to provide credit enhancement to its customers’ other commercial or public financing arrangements and to help them demonstrate financial capacity to vendors of essential goods and services.</w:t>
      </w:r>
    </w:p>
    <w:p>
      <w:pPr>
        <w:spacing w:after="0" w:line="12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contract amounts of these instruments reflect the Company’s exposure to credit risk. The Company undertakes the same credit evaluation in making loan commitments and assuming conditional obligations as it does for on-balance sheet instruments and may require collateral or other credit support.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Company’s commitments to extend credit by commitment expiration date for the dates indicated: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00" w:type="dxa"/>
            <w:vAlign w:val="bottom"/>
          </w:tcPr>
          <w:p>
            <w:pPr>
              <w:spacing w:after="0"/>
              <w:rPr>
                <w:sz w:val="16"/>
                <w:szCs w:val="16"/>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One-Three</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Three-Five</w:t>
            </w:r>
          </w:p>
        </w:tc>
        <w:tc>
          <w:tcPr>
            <w:tcW w:w="140" w:type="dxa"/>
            <w:vAlign w:val="bottom"/>
          </w:tcPr>
          <w:p>
            <w:pPr>
              <w:spacing w:after="0"/>
              <w:rPr>
                <w:sz w:val="16"/>
                <w:szCs w:val="16"/>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Greater than</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One Year</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Five Years</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Borders>
              <w:top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6"/>
                <w:szCs w:val="16"/>
                <w:color w:val="auto"/>
              </w:rPr>
              <w:t>Commitments to extend credit</w:t>
            </w:r>
            <w:r>
              <w:rPr>
                <w:rFonts w:ascii="Times New Roman" w:cs="Times New Roman" w:eastAsia="Times New Roman" w:hAnsi="Times New Roman"/>
                <w:sz w:val="21"/>
                <w:szCs w:val="21"/>
                <w:color w:val="auto"/>
                <w:vertAlign w:val="superscript"/>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738,038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888,246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100,545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2,159,167</w:t>
            </w:r>
          </w:p>
        </w:tc>
        <w:tc>
          <w:tcPr>
            <w:tcW w:w="0" w:type="dxa"/>
            <w:vAlign w:val="bottom"/>
          </w:tcPr>
          <w:p>
            <w:pPr>
              <w:spacing w:after="0"/>
              <w:rPr>
                <w:sz w:val="1"/>
                <w:szCs w:val="1"/>
                <w:color w:val="auto"/>
              </w:rPr>
            </w:pPr>
          </w:p>
        </w:tc>
      </w:tr>
      <w:tr>
        <w:trPr>
          <w:trHeight w:val="227"/>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222,769</w:t>
            </w:r>
          </w:p>
        </w:tc>
        <w:tc>
          <w:tcPr>
            <w:tcW w:w="0" w:type="dxa"/>
            <w:vAlign w:val="bottom"/>
          </w:tcPr>
          <w:p>
            <w:pPr>
              <w:spacing w:after="0"/>
              <w:rPr>
                <w:sz w:val="1"/>
                <w:szCs w:val="1"/>
                <w:color w:val="auto"/>
              </w:rPr>
            </w:pPr>
          </w:p>
        </w:tc>
      </w:tr>
      <w:tr>
        <w:trPr>
          <w:trHeight w:val="251"/>
        </w:trPr>
        <w:tc>
          <w:tcPr>
            <w:tcW w:w="41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off-balance sheet commitments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907,485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2,381,936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60"/>
              <w:spacing w:after="0" w:line="233" w:lineRule="exact"/>
              <w:rPr>
                <w:sz w:val="20"/>
                <w:szCs w:val="20"/>
                <w:color w:val="auto"/>
              </w:rPr>
            </w:pPr>
            <w:r>
              <w:rPr>
                <w:rFonts w:ascii="Times New Roman" w:cs="Times New Roman" w:eastAsia="Times New Roman" w:hAnsi="Times New Roman"/>
                <w:sz w:val="16"/>
                <w:szCs w:val="16"/>
                <w:color w:val="auto"/>
              </w:rPr>
              <w:t>Commitments to extend credit</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762,261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524,071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137,736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2,267,743</w:t>
            </w:r>
          </w:p>
        </w:tc>
        <w:tc>
          <w:tcPr>
            <w:tcW w:w="0" w:type="dxa"/>
            <w:vAlign w:val="bottom"/>
          </w:tcPr>
          <w:p>
            <w:pPr>
              <w:spacing w:after="0"/>
              <w:rPr>
                <w:sz w:val="1"/>
                <w:szCs w:val="1"/>
                <w:color w:val="auto"/>
              </w:rPr>
            </w:pPr>
          </w:p>
        </w:tc>
      </w:tr>
      <w:tr>
        <w:trPr>
          <w:trHeight w:val="227"/>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243,791</w:t>
            </w:r>
          </w:p>
        </w:tc>
        <w:tc>
          <w:tcPr>
            <w:tcW w:w="0" w:type="dxa"/>
            <w:vAlign w:val="bottom"/>
          </w:tcPr>
          <w:p>
            <w:pPr>
              <w:spacing w:after="0"/>
              <w:rPr>
                <w:sz w:val="1"/>
                <w:szCs w:val="1"/>
                <w:color w:val="auto"/>
              </w:rPr>
            </w:pPr>
          </w:p>
        </w:tc>
      </w:tr>
      <w:tr>
        <w:trPr>
          <w:trHeight w:val="251"/>
        </w:trPr>
        <w:tc>
          <w:tcPr>
            <w:tcW w:w="41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off-balance sheet commitments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2,511,534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$815.8 million and $768.4 million of unconditionally cancellable commitments at September 30, 2026, and December 31, 2025, respectively.</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2026, the Company held 40 unfunded letters of credit from the FHLB totaling $564.3 million, with expiration dates ranging</w:t>
      </w:r>
    </w:p>
    <w:p>
      <w:pPr>
        <w:spacing w:after="0" w:line="237" w:lineRule="auto"/>
        <w:rPr>
          <w:sz w:val="20"/>
          <w:szCs w:val="20"/>
          <w:color w:val="auto"/>
        </w:rPr>
      </w:pPr>
      <w:r>
        <w:rPr>
          <w:rFonts w:ascii="Times New Roman" w:cs="Times New Roman" w:eastAsia="Times New Roman" w:hAnsi="Times New Roman"/>
          <w:sz w:val="18"/>
          <w:szCs w:val="18"/>
          <w:color w:val="auto"/>
        </w:rPr>
        <w:t>from October 3, 2026, to September 22, 2027. At December 31, 2025, the Company held 44 unfunded letters of credit from the FHLB totaling</w:t>
      </w:r>
    </w:p>
    <w:p>
      <w:pPr>
        <w:spacing w:after="0" w:line="234" w:lineRule="auto"/>
        <w:rPr>
          <w:sz w:val="20"/>
          <w:szCs w:val="20"/>
          <w:color w:val="auto"/>
        </w:rPr>
      </w:pPr>
      <w:r>
        <w:rPr>
          <w:rFonts w:ascii="Times New Roman" w:cs="Times New Roman" w:eastAsia="Times New Roman" w:hAnsi="Times New Roman"/>
          <w:sz w:val="18"/>
          <w:szCs w:val="18"/>
          <w:color w:val="auto"/>
        </w:rPr>
        <w:t>$598.3 million, with expiration dates ranging from January 2, 2026, to September 22, 2027. These letters of credit either support pledges for our public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deposits or confirm letters of credit we have issued to support our customers’ businesses.</w:t>
      </w:r>
    </w:p>
    <w:p>
      <w:pPr>
        <w:spacing w:after="0" w:line="15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Management establishes an asset-specific allowance for certain lending-related commitments and computes a formula-based allowance for performing consumer and commercial lending-related commitments. These are computed using a methodology similar to that used for the commercial loan portfolio, modified for expected maturities and probabilities of drawdown. The reserve for lending-related commitments was $4.6 million and $4.5 million at September 30, 2026, and December 31, 2025, respectively, and is included in accrued expenses and other liabilities in the accompanying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beginning in the Company’s Quarterly Report on Form 10-Q for the quarter ended June 30, 2024, the Company discovered certain questioned activity involving a former banker in our East Texas market. In connection with a settlement in August 2026 of certain litigation involving the questioned banker activity, the Company fully released the remaining contingency reserve during the quarter ended September 30, 2026.</w:t>
      </w:r>
    </w:p>
    <w:p>
      <w:pPr>
        <w:spacing w:after="0" w:line="12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previously recorded provision for loan credit losses related to this matter of $4.1 million in 2024 and $1.3 million in 2025. During the nine months ended September 30, 2026, the Company has reduced the allowance for loan credit losses by $1.0 million for the previously recorded provision for loan credit losses. During the nine months ended September 30, 2026, the Company recognized $595,000 of related insurance recoveries of third party expenses in other noninterest income with cumulative insurance recoveries totaling $3.2 million through September 30, 2026.</w:t>
      </w:r>
    </w:p>
    <w:p>
      <w:pPr>
        <w:spacing w:after="0" w:line="12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also party to various other legal actions arising in the ordinary course of business. Currently, management has not identified any other loss contingencies, either individually or in the aggregate, which would have a material adverse effect on the consolidated financial position or liquidity of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in this report to “we,” “us,” “our,” “our company,” “the Company” or “Origin” refer to Origin Bancorp, Inc., a Louisiana corporation, and its consolidated subsidiaries. All references to “Origin Bank” or “the Bank” refer to Origin Bank, our wholly-owned bank subsidiary.</w:t>
      </w:r>
    </w:p>
    <w:p>
      <w:pPr>
        <w:spacing w:after="0" w:line="119"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presents our financial condition and results of operations on a consolidated basis. However, we conduct all of our material business operations through our wholly-owned bank subsidiary, Origin Bank, the discussion and analysis that follows primarily relates to activities conducted at the Bank level.</w:t>
      </w:r>
    </w:p>
    <w:p>
      <w:pPr>
        <w:spacing w:after="0" w:line="11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consolidated financial statements and related condensed notes contained in Item 1 of this report.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“Item 1A. Risk Factors” and in the section titled “Risk Factors” in our 2025 Form 10-K. We assume no obligation to update any of these forward-looking statements.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are a financial holding company headquartered in Ruston, Louisiana. Origin’s wholly owned bank subsidiary, Origin Bank (the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locations in Dallas/Fort Worth, East Texas, Houston, North Louisiana, Mississippi, Alabama and the Florida Panhandle. In addition, Origin provides a broad range of insurance agency products and services through its wholly owned insurance agency subsidiary, Forth Insurance, LLC. As a financial holding company operating through one segment, we generate the majority of our revenue from interest earned on loans and investments, service charges and fees on deposit accounts.</w:t>
      </w:r>
    </w:p>
    <w:p>
      <w:pPr>
        <w:spacing w:after="0" w:line="13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incur interest expense on deposits and other borrowed funds and noninterest expense, such as salaries and employee benefits and occupancy expenses. We analyze our ability to maximize the income generated from interest-earning assets and minimize expense of our liabilities through our net interest margin. Net interest margin is a ratio calculated as net interest income divided by average interest-earning assets. Net interest income is the difference between interest income on interest-earning assets, such as loans, securities and interest-earning cash, and interest expense on interest-bearing liabilities, such as deposits and borrowings. Net interest spread is the average yield on interest-earning assets minus the average rate on interest-bearing liabilities.</w:t>
      </w:r>
    </w:p>
    <w:p>
      <w:pPr>
        <w:spacing w:after="0" w:line="133"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Changes in market interest rates and the interest rates we earn on interest-earning assets or pay on interest-bearing liabilities, as well as in the volume and types of interest-earning assets and interest-bearing liabilities are usually the largest drivers of periodic changes in net interest spread, net interest margin and net interest income.</w:t>
      </w:r>
    </w:p>
    <w:p>
      <w:pPr>
        <w:spacing w:after="0" w:line="120" w:lineRule="exact"/>
        <w:rPr>
          <w:sz w:val="20"/>
          <w:szCs w:val="20"/>
          <w:color w:val="auto"/>
        </w:rPr>
      </w:pPr>
    </w:p>
    <w:p>
      <w:pPr>
        <w:jc w:val="both"/>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Optimize Origin</w:t>
      </w:r>
      <w:r>
        <w:rPr>
          <w:rFonts w:ascii="Times New Roman" w:cs="Times New Roman" w:eastAsia="Times New Roman" w:hAnsi="Times New Roman"/>
          <w:sz w:val="18"/>
          <w:szCs w:val="18"/>
          <w:color w:val="auto"/>
        </w:rPr>
        <w:t xml:space="preserve"> initiative, announced in January 2025 and designed to drive elite financial performance and enhance our award-winning culture, remains an integral part of our corporate DNA.</w:t>
      </w:r>
    </w:p>
    <w:p>
      <w:pPr>
        <w:spacing w:after="0" w:line="10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Built on three primary pillars:</w:t>
      </w:r>
    </w:p>
    <w:p>
      <w:pPr>
        <w:spacing w:after="0" w:line="63"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Productivity, Delivery &amp; Efficiency</w:t>
      </w:r>
    </w:p>
    <w:p>
      <w:pPr>
        <w:spacing w:after="0" w:line="63"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Balance Sheet Optimization</w:t>
      </w:r>
    </w:p>
    <w:p>
      <w:pPr>
        <w:spacing w:after="0" w:line="63"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Culture &amp; Employee Engagement</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continue to work towards our ultimate top quartile ROAA target.</w:t>
      </w:r>
    </w:p>
    <w:p>
      <w:pPr>
        <w:spacing w:after="0" w:line="16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2026 Third Quarter Key Metrics</w:t>
      </w:r>
    </w:p>
    <w:p>
      <w:pPr>
        <w:spacing w:after="0" w:line="175"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$37.8 million three months ended September 30, 2026, reflecting an increase of $29.2 million, or 338.1%, compared to the three months ended September 30,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80" w:right="40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was $95.1 million for the three months ended September 30, 2026, reflecting an increase of $11.4 million, or 13.7%, compared to the three months ended September 30, 2025.</w:t>
      </w:r>
    </w:p>
    <w:p>
      <w:pPr>
        <w:spacing w:after="0" w:line="107"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fully tax equivalent net interest margin (“NIM-FTE”) increased 29 basis points for the quarter ended September 30, 2026, compared to the quarter ended September 30, 2025. This expansion was driven primarily by a 52-basis point reduction in rates paid on interest-bearing liabilities, offset by a 13-basis point decline in our yield earned on interest-earning assets.</w:t>
      </w:r>
    </w:p>
    <w:p>
      <w:pPr>
        <w:spacing w:after="0" w:line="121"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held for investment (“LHFI”) were $8.09 billion at September 30, 2026, reflecting an increase of $423.3 million, or 5.5%, compared to December 31, 2025. LHFI, excluding mortgage warehouse lines of credit, were $7.65 billion at September 30, 2026, reflecting an increase of $512.4 million, or 7.2%, compared to December 31, 2025.</w:t>
      </w:r>
    </w:p>
    <w:p>
      <w:pPr>
        <w:spacing w:after="0" w:line="12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$8.67 billion at September 30, 2026, reflecting an increase of $365.9 million, or 4.4%, compared to December 31, 2025. Noninterest-bearing deposits were $2.18 billion, reflecting an increase of $196.6 million, or 9.9%, compared to December 31, 2025.</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2026, we repurchased 272,927 shares of our common stock at an average price of $54.21 per share, including broker commissions and applicable excise taxes.</w:t>
      </w:r>
    </w:p>
    <w:p>
      <w:pPr>
        <w:spacing w:after="0" w:line="10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2026, our board approved an increase in our quarterly dividend from $0.25 to $0.28 per share, a 12% increase. Combined with the $0.10 per share increase approved in April 2026, the quarterly dividend has increased from $0.15 to $0.28 per share, or 87%, reflecting our strong balance sheet and durable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Three Months Ended September 30, 2026 and 2025</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net income increased $29.2 million, or 338.1%, to $37.8 million for the three months ended September 30, 2026, from $8.6 million for the three months ended September 30, 2025. Diluted EPS increased $0.95 to $1.22 per share for the three months ended September 30, 2026, compared to $0.27 per share for the three months ended September 30, 2025. The increase was primarily due to a decrease of $34.2 million in provision expense for credit losses and an increase of $11.4 million in pre-provision net interest income, partially offset by an $8.0 million decrease in noninterest income and an $8.0 million increase in income tax expense for the three months ended September 30, 2026, compared to the three months ended September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Net Interest Margin</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interest income for the three months ended September 30, 2026, was $95.1 million, an increase of $11.4 million, or 13.7%, compared to the three months ended September 30, 2025. The increase was due to a $7.5 million decrease in interest expense and an increase of $3.9 million in total interest income during the three months ended September 30, 2026, compared to three months ended September 30, 2025.</w:t>
      </w:r>
    </w:p>
    <w:p>
      <w:pPr>
        <w:spacing w:after="0" w:line="12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$7.5 million decrease in interest expense was mainly due to decreases of $6.9 million and $892,000 in interest expense on interest-bearing deposits and subordinated indebtedness, respectively. Of the $6.9 million decline in interest on interest-bearing deposits, $8.7 million was attributable to lower interest rates, partially offset by a $1.7 million net increase resulting from higher net average balances, during the three months ended September 30, 2026, compared to the three months ended September 30, 2025. The $8.7 million decrease in interest expense due to lower rates was primarily due to decreases of $5.6 million and $2.2 million in interest expense on money market and interest-bearing demand deposits, respectively. The benefit of these lower rates was partially offset by a $2.4 million increase in interest expense on money market deposit balances attributable to an increase of $267.8 million in average money market deposit balances for the three months ended September 30, 2026, compared to the three months ended September 30, 2025. In addition, interest expense on subordinated debentures decreased $892,000 primarily due to the redemption of $74.0 million in principal amount of subordinated debentures during the quarter ended December 31, 2025, which reduced the average balance of subordinated debenture to $16.6 million for the three months ended September 30, 2026, from $89.7 million for the three months ended September 30, 2025.</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Interest income increased $3.9 million for the three months ended September 30, 2026, compared to the three months ended September 30, 2025, primarily due to an increase of $5.4 million in interest income on LHFI, partially offset by a $1.7 million decrease in interest income on interest-earning balances due from banks. The $5.4 million increase in interest income on LHFI was primarily due to a $9.0 million increase in interest income due to higher average balances partially offset by a $3.6 million decrease due to lower yields. The $9.0 million increase in interest income attributable to higher average LHFI balances was primarily due to increases in average balances of $169.9 million, $193.3 million and $97.6 million in commercial and industrial, commercial real estate, and construction/land/land development loans, respectively. The impact of higher average balances was partially offset by $3.6 million due to lower yields primarily attributable to commercial and industrial loans, which declined to 6.67% for the three months ended September 30, 2026, from 7.22% for the three months ended September 30, 2025, and reduced interest income by $3.0 million.</w:t>
      </w:r>
    </w:p>
    <w:p>
      <w:pPr>
        <w:spacing w:after="0" w:line="13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Federal Reserve Board sets various benchmark rates, including the federal funds rate, and thereby influences the general market rates of interest, including the loan and deposit rates offered by financial institutions. The Federal Reserve Board reduced the federal funds target rate range three times, for a total of 75 basis points, during the second half of 2025, to a range of 3.50% to 3.75%. On September 16, 2026, the Federal Reserve Board raised the federal funds target rate range by 25 basis points, to a range of 3.75% to 4.00%.</w:t>
      </w:r>
    </w:p>
    <w:p>
      <w:pPr>
        <w:spacing w:after="0" w:line="12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NIM-FTE was 3.94% for the three months ended September 30, 2026, a 29-basis point increase from 3.65% for the three months ended September 30, 2025. The improvement was mainly driven by an expanding interest rate spread, as the 52-basis-point decline in the average cost of total interest-bearing liabilities exceeded the 13-basis-point decline in the yield earned on interest-earning assets for the three months ended September 30, 2026, compared to the three months ended September 30, 2025. The average rate on total interest-bearing liabilities for the three months ended September 30, 2026, was 2.70%, compared to 3.22% for the three months ended September 30, 2025. The average yield earned on total interest-earning assets for the three months ended September 30, 2026, was 5.76%, compared to 5.89% for the three months ended September 30,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average balance sheet information, interest income, interest expense and the corresponding average yields earned, and rates paid for the three months ended September 30, 2026 and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9"/>
                <w:szCs w:val="9"/>
                <w:b w:val="1"/>
                <w:bCs w:val="1"/>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52"/>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Balance</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Balance</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94"/>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2,643,416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39,273</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5.89 %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2,450,148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36,101</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5.85 %</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Construction/land/land development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742,095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12,654</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644,455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Single-family residential real estate</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1,432,824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19,917</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1,460,412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20,004</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Multifamily residential real estate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578,468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9,086</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532,354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2,164,704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36,393</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1,994,755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36,283</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 warehouse lines of credit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7,776</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7,393</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86"/>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LHFI</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8,059,674</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125,435</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7,523,624</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120,048</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held for sale</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86"/>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Loans receivable</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8,060,875</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125,458</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7,526,542</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120,096</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securities-taxable</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969,386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8,844</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951,758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8,767</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securities-non-taxable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1,632</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04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4"/>
                <w:szCs w:val="14"/>
                <w:color w:val="auto"/>
              </w:rPr>
              <w:t>Non-marketable equity securities held in other financial</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37,256</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574</w:t>
            </w:r>
          </w:p>
        </w:tc>
        <w:tc>
          <w:tcPr>
            <w:tcW w:w="128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30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institutions</w:t>
            </w: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Interest-earning deposits in banks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3,527</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473,352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5,211</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9,639,074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140,035</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9,162,355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136,139</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10,193,891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9,727,414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1,812,819</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10,883</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2.38 %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1,827,758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13,170</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2.86 %</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Money market deposits</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3,637,422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26,427</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3,369,582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29,695</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Savings deposits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918</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314,112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Savings and interest-bearing transaction accounts</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5,760,139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38,228</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5,511,452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44,059</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Time deposits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764,344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5,880</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819,692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6,967</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6,524,483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44,108</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6,331,144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51,026</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FHLB advances &amp; other borrowings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543</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Subordinated indebtedness</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89,692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186"/>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6,598,337</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44,895</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6,451,538</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52,435</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2,160,353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1,901,116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147,406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147,329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8,906,096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8,499,983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1,287,795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1,227,431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10,193,891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9,727,414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interest spread</w:t>
            </w: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840"/>
              <w:spacing w:after="0" w:line="159" w:lineRule="exact"/>
              <w:rPr>
                <w:sz w:val="20"/>
                <w:szCs w:val="20"/>
                <w:color w:val="auto"/>
              </w:rPr>
            </w:pPr>
            <w:r>
              <w:rPr>
                <w:rFonts w:ascii="Times New Roman" w:cs="Times New Roman" w:eastAsia="Times New Roman" w:hAnsi="Times New Roman"/>
                <w:sz w:val="14"/>
                <w:szCs w:val="14"/>
                <w:color w:val="auto"/>
              </w:rPr>
              <w:t>3.06 %</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ind w:left="860"/>
              <w:spacing w:after="0" w:line="159" w:lineRule="exact"/>
              <w:rPr>
                <w:sz w:val="20"/>
                <w:szCs w:val="20"/>
                <w:color w:val="auto"/>
              </w:rPr>
            </w:pPr>
            <w:r>
              <w:rPr>
                <w:rFonts w:ascii="Times New Roman" w:cs="Times New Roman" w:eastAsia="Times New Roman" w:hAnsi="Times New Roman"/>
                <w:sz w:val="14"/>
                <w:szCs w:val="14"/>
                <w:color w:val="auto"/>
              </w:rPr>
              <w:t>2.67 %</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 and margin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95,140</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83,704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and margin - (tax equivalent)</w:t>
            </w:r>
            <w:r>
              <w:rPr>
                <w:rFonts w:ascii="Times New Roman" w:cs="Times New Roman" w:eastAsia="Times New Roman" w:hAnsi="Times New Roman"/>
                <w:sz w:val="18"/>
                <w:szCs w:val="18"/>
                <w:color w:val="auto"/>
                <w:vertAlign w:val="superscript"/>
              </w:rPr>
              <w:t>(3)</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95,628</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84,230</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ind w:left="320" w:hanging="312"/>
        <w:spacing w:after="0" w:line="202" w:lineRule="auto"/>
        <w:tabs>
          <w:tab w:leader="none" w:pos="3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Nonaccrual loans are included in their respective loan category for the purpose of calculating the yield earned. All average balances are daily average balances.</w:t>
      </w:r>
    </w:p>
    <w:p>
      <w:pPr>
        <w:spacing w:after="0" w:line="3"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Yields/Rates are calculated on an actual/actual day count basis.</w:t>
      </w:r>
    </w:p>
    <w:p>
      <w:pPr>
        <w:spacing w:after="0" w:line="3" w:lineRule="exact"/>
        <w:rPr>
          <w:rFonts w:ascii="Times New Roman" w:cs="Times New Roman" w:eastAsia="Times New Roman" w:hAnsi="Times New Roman"/>
          <w:sz w:val="19"/>
          <w:szCs w:val="19"/>
          <w:color w:val="auto"/>
          <w:vertAlign w:val="superscript"/>
        </w:rPr>
      </w:pPr>
    </w:p>
    <w:p>
      <w:pPr>
        <w:ind w:left="340" w:right="320" w:hanging="332"/>
        <w:spacing w:after="0" w:line="226" w:lineRule="auto"/>
        <w:tabs>
          <w:tab w:leader="none" w:pos="327"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order to present pre-tax income and resulting yields on tax-exempt investments comparable to those on taxable investments, a tax-equivalent adjustment has been computed. This adjustment also includes income tax credits received on Qualified School Construction Bonds and income from tax-exempt investments, and tax credits were computed using a federal income tax rate of 21%.</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dollar amount of changes in interest income and interest expense for major components of interest-earning assets and interest-bearing liabilities. It distinguishes between the changes related to outstanding balances and those due to changes in interest rates. The change in interest attributable to rate changes has been determined by applying the change in rate between periods to average balances outstanding in the earlier period. The change in interest due to volume has been determined by applying the rate from the earlier period to the change in average balances outstanding between periods. For purposes of this table, changes attributable to both rate and volume that cannot be segregated, including the difference in day count, have been allocated to rate.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60" w:type="dxa"/>
            <w:vAlign w:val="bottom"/>
            <w:gridSpan w:val="7"/>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 vs. Three Months Ended</w:t>
            </w:r>
          </w:p>
        </w:tc>
      </w:tr>
      <w:tr>
        <w:trPr>
          <w:trHeight w:val="212"/>
        </w:trPr>
        <w:tc>
          <w:tcPr>
            <w:tcW w:w="6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6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Increase (Decrease) Due To Change In</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3"/>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120" w:type="dxa"/>
            <w:vAlign w:val="bottom"/>
          </w:tcPr>
          <w:p>
            <w:pPr>
              <w:spacing w:after="0"/>
              <w:rPr>
                <w:sz w:val="19"/>
                <w:szCs w:val="19"/>
                <w:color w:val="auto"/>
              </w:rPr>
            </w:pP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00" w:type="dxa"/>
            <w:vAlign w:val="bottom"/>
          </w:tcPr>
          <w:p>
            <w:pPr>
              <w:spacing w:after="0"/>
              <w:rPr>
                <w:sz w:val="19"/>
                <w:szCs w:val="19"/>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220" w:type="dxa"/>
            <w:vAlign w:val="bottom"/>
          </w:tcPr>
          <w:p>
            <w:pPr>
              <w:spacing w:after="0"/>
              <w:rPr>
                <w:sz w:val="19"/>
                <w:szCs w:val="19"/>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 Change</w:t>
            </w:r>
          </w:p>
        </w:tc>
      </w:tr>
      <w:tr>
        <w:trPr>
          <w:trHeight w:val="226"/>
        </w:trPr>
        <w:tc>
          <w:tcPr>
            <w:tcW w:w="6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r>
      <w:tr>
        <w:trPr>
          <w:trHeight w:val="227"/>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33"/>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27"/>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33"/>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26"/>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33"/>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27"/>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Loans receivable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5,362</w:t>
            </w:r>
          </w:p>
        </w:tc>
      </w:tr>
      <w:tr>
        <w:trPr>
          <w:trHeight w:val="227"/>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securities-taxable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2"/>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securities-non-taxable</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27"/>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Non-marketable equity securities held in other financial institutions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Interest-earning deposits in banks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7"/>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3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deposits</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w:t>
            </w:r>
          </w:p>
        </w:tc>
      </w:tr>
      <w:tr>
        <w:trPr>
          <w:trHeight w:val="22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 deposits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3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r>
      <w:tr>
        <w:trPr>
          <w:trHeight w:val="227"/>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FHLB advances &amp; other borrowings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Subordinated indebtedness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(7,540)</w:t>
            </w:r>
          </w:p>
        </w:tc>
      </w:tr>
      <w:tr>
        <w:trPr>
          <w:trHeight w:val="251"/>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provision for credit losses, which includes the provisions for loan credit losses, off-balance sheet commitments credit losses and security credit losses, is based on management’s assessment of the adequacy of our allowance for credit losses (“ACL”) for loans, securities, and our reserve for off-balance-sheet lending commitments. Factors impacting the provision include inherent risk characteristics in our loan and security portfolios, the level of nonperforming loans and net charge-offs, both current and historic, local economic and credit conditions, the direction of the change in collateral values, reasonable and supportable forecasts, and the funding probability on unfunded lending commitments. The provision for credit losses is charged against earnings in order to maintain our ACL, which reflects management’s best estimate of the life of loan/investment security credit losses inherent in our loan/security portfolios at the balance sheet date, and our reserve for off-balance-sheet lending commitments, which reflects management’s best estimate of losses inherent in our legally binding lending-related commitments. The allowance is increased by the provision for loan credit losses and decreased by charge-offs, net of recoveries.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Total provision expense decreased by $34.2 million, to $2.6 million for the three months ended September 30, 2026, from $36.8 million for the three months ended September 30, 2025, due to decreases of $32.4 million and $1.8 million in provision expense for loan credit losses and off-balance sheet commitments, respectively. The elevated provision expense for loan credit losses recorded during the three months ended September 30, 2025, was largely due to the borrower fraud impacting the Tricolor Holdings, LLC loan relationship, which resulted in a $29.5 million increase in total provision expense, including a $28.0 million provision for loan credit losses and a $1.5 million provision for off-balance sheet commitments. The remaining decrease was primarily the result of lower risk embedded in our loan portfolio, reflected in favorable net credit migration. Net credit migration reflects the combined impact of loan risk rating changes, specific reserve adjustments, and loan balance movements, such as loan balance changes and payoffs.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charge-offs decreased $28.7 million, to $2.7 million for the three months ended September 30, 2026, from $31.4 million for the three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2025. Of the decrease, $28.4 million was attributable to net charge-offs recognized in the three months ended September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borrower fraud as discussed above. The allowance for loan credit losses to nonperforming LHFI increased to 135.77% for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2026, compared to 109.04% for the three months ended September 30, 2025. The increase in the ratio is primarily the result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 million decrease in nonperforming LHFI, primarily due to decreases of $4.9 million, $4.8 million and $2.4 million in nonperforming single-family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real estate, commercial and industrial and multi-family residential real estate loans, respectively. $2.3 million of the decline in nonperforming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LHFI was a result of net paydowns or payoffs of nonperforming loans, primarily in the construction/land/land development sector, impacted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questioned banker activity first disclosed during the quarter ended June 30,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various components of and changes in our noninterest income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8"/>
                <w:szCs w:val="18"/>
                <w:color w:val="auto"/>
              </w:rPr>
            </w:pPr>
          </w:p>
        </w:tc>
        <w:tc>
          <w:tcPr>
            <w:tcW w:w="32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commission and fee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fee income</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26"/>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Mortgage banking revenue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Swap fee income</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226"/>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equity investments</w:t>
            </w:r>
          </w:p>
        </w:tc>
        <w:tc>
          <w:tcPr>
            <w:tcW w:w="2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sales of securities, net</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6"/>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method investment income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26"/>
        </w:trPr>
        <w:tc>
          <w:tcPr>
            <w:tcW w:w="4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1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Noninterest income for the three months ended September 30, 2026, decreased by $8.0 million to $18.1 million, compared to $26.1 million for the three months ended September 30, 2025. The decrease was primarily driven by a $7.0 million decrease in the change in fair value of equity investments, a $1.9 million decrease in other income, and a decrease of $985,000 in swap fee income. These decreases were partially offset by increases of $737,000 and $509,000 in insurance commission and fee income and equity method investment income, respectively.</w:t>
      </w:r>
    </w:p>
    <w:p>
      <w:pPr>
        <w:spacing w:after="0" w:line="12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equity investments. </w:t>
      </w:r>
      <w:r>
        <w:rPr>
          <w:rFonts w:ascii="Times New Roman" w:cs="Times New Roman" w:eastAsia="Times New Roman" w:hAnsi="Times New Roman"/>
          <w:sz w:val="18"/>
          <w:szCs w:val="18"/>
          <w:color w:val="auto"/>
        </w:rPr>
        <w:t>The decrease of $7.0 million in the change of fair value of equity investments was primarily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adjustment during the three months ended September 30, 2025, associated with our additional investment in Argent Financial. Our additional investment during the three months ended September 30, 2025, increased our ownership percentage above the threshold required to apply the equity method of accounting, which required the investment to be recorded at fair value immediately prior to the additional investment.</w:t>
      </w:r>
    </w:p>
    <w:p>
      <w:pPr>
        <w:spacing w:after="0" w:line="126"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$1.9 million decrease in other income was primarily due to the prior-year recognition of $2.1 million in insurance recoveries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questioned banker activity first disclosed during the quarter ended June 30, 2024.</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Swap fee income. </w:t>
      </w:r>
      <w:r>
        <w:rPr>
          <w:rFonts w:ascii="Times New Roman" w:cs="Times New Roman" w:eastAsia="Times New Roman" w:hAnsi="Times New Roman"/>
          <w:sz w:val="18"/>
          <w:szCs w:val="18"/>
          <w:color w:val="auto"/>
        </w:rPr>
        <w:t>The $985,000 decrease in swap fee income was the result of lower customer swap activity during the current quarter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the interest rate environment, reflecting reduced demand for hedging solutions compared to the three months ended September 30, 2025.</w:t>
      </w:r>
    </w:p>
    <w:p>
      <w:pPr>
        <w:spacing w:after="0" w:line="104"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Insurance commission and fee income. </w:t>
      </w:r>
      <w:r>
        <w:rPr>
          <w:rFonts w:ascii="Times New Roman" w:cs="Times New Roman" w:eastAsia="Times New Roman" w:hAnsi="Times New Roman"/>
          <w:sz w:val="18"/>
          <w:szCs w:val="18"/>
          <w:color w:val="auto"/>
        </w:rPr>
        <w:t>The $737,000 increase in insurance commission and fee income is primarily the result of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$544,000 in property and casualty insurance commission income during the three months ended September 30, 2026, compared to the three months ended September 30, 2025.</w:t>
      </w:r>
    </w:p>
    <w:p>
      <w:pPr>
        <w:spacing w:after="0" w:line="11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method investment income. </w:t>
      </w:r>
      <w:r>
        <w:rPr>
          <w:rFonts w:ascii="Times New Roman" w:cs="Times New Roman" w:eastAsia="Times New Roman" w:hAnsi="Times New Roman"/>
          <w:sz w:val="18"/>
          <w:szCs w:val="18"/>
          <w:color w:val="auto"/>
        </w:rPr>
        <w:t>The $509,000 increase in equity method investment income was primarily attributable to a $613,000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recognized from the Company’s equity method investment in Argent Financial during the three months ended September 30, 2026.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noninterest expense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8"/>
                <w:szCs w:val="18"/>
                <w:color w:val="auto"/>
              </w:rPr>
            </w:pPr>
          </w:p>
        </w:tc>
        <w:tc>
          <w:tcPr>
            <w:tcW w:w="32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9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7.0 %</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Occupancy and equipment,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90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3.4</w:t>
            </w: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Data processing</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9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9.3</w:t>
            </w:r>
          </w:p>
        </w:tc>
      </w:tr>
      <w:tr>
        <w:trPr>
          <w:trHeight w:val="226"/>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Office and operations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(9.2)</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(15.8)</w:t>
            </w:r>
          </w:p>
        </w:tc>
      </w:tr>
      <w:tr>
        <w:trPr>
          <w:trHeight w:val="232"/>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Electronic banking</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(35.8)</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assessments</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Loan-related expenses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(24.4)</w:t>
            </w:r>
          </w:p>
        </w:tc>
      </w:tr>
      <w:tr>
        <w:trPr>
          <w:trHeight w:val="22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(64.3)</w:t>
            </w:r>
          </w:p>
        </w:tc>
      </w:tr>
      <w:tr>
        <w:trPr>
          <w:trHeight w:val="226"/>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62,489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62,028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90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0.7</w:t>
            </w:r>
          </w:p>
        </w:tc>
      </w:tr>
      <w:tr>
        <w:trPr>
          <w:trHeight w:val="21"/>
        </w:trPr>
        <w:tc>
          <w:tcPr>
            <w:tcW w:w="4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Noninterest expense for the three months ended September 30, 2026, increased by $461,000, or 0.7%, to $62.5 million, compared to $62.0 million for the three months ended September 30, 2025, primarily due to an increase of $2.7 million in salaries and employee benefits. The increase was offset by decreases of $1.4 million and $526,000 in other expense and electronic banking, respectively.</w:t>
      </w:r>
    </w:p>
    <w:p>
      <w:pPr>
        <w:spacing w:after="0" w:line="12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$2.7 million increase in salaries and employee benefits was primarily due to a $1.6 million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compensation expense, including a $1.4 million increase in bonuses driven by improved performance. Also contributing to the increase was a net increase in salaries of $1.4 million primarily due to annual merit increases and a net increase of 6 full-time equivalent (“FTE”) employees.</w:t>
      </w:r>
    </w:p>
    <w:p>
      <w:pPr>
        <w:spacing w:after="0" w:line="119"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Other noninterest expense</w:t>
      </w:r>
      <w:r>
        <w:rPr>
          <w:rFonts w:ascii="Times New Roman" w:cs="Times New Roman" w:eastAsia="Times New Roman" w:hAnsi="Times New Roman"/>
          <w:sz w:val="18"/>
          <w:szCs w:val="18"/>
          <w:color w:val="auto"/>
        </w:rPr>
        <w:t>. The $1.4 million decrease in other noninterest expense was primarily due to a $2.2 million release of litigation reserve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offset by an $883,000 charge, both of which relate to the settlement of certain litigation involving the questioned banker activity first disclosed during the quarter ended June 30, 2024.</w:t>
      </w:r>
    </w:p>
    <w:p>
      <w:pPr>
        <w:spacing w:after="0" w:line="119" w:lineRule="exact"/>
        <w:rPr>
          <w:sz w:val="20"/>
          <w:szCs w:val="20"/>
          <w:color w:val="auto"/>
        </w:rPr>
      </w:pPr>
    </w:p>
    <w:p>
      <w:pPr>
        <w:jc w:val="both"/>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Electronic banking</w:t>
      </w:r>
      <w:r>
        <w:rPr>
          <w:rFonts w:ascii="Times New Roman" w:cs="Times New Roman" w:eastAsia="Times New Roman" w:hAnsi="Times New Roman"/>
          <w:sz w:val="18"/>
          <w:szCs w:val="18"/>
          <w:color w:val="auto"/>
        </w:rPr>
        <w:t>. The $526,000 decrease in electronic banking expense was primarily driven by a total decrease of $388,000 in mobile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card processing expenses, predominantly as a result of contract renegotiations as part of </w:t>
      </w:r>
      <w:r>
        <w:rPr>
          <w:rFonts w:ascii="Times New Roman" w:cs="Times New Roman" w:eastAsia="Times New Roman" w:hAnsi="Times New Roman"/>
          <w:sz w:val="18"/>
          <w:szCs w:val="18"/>
          <w:i w:val="1"/>
          <w:iCs w:val="1"/>
          <w:color w:val="auto"/>
        </w:rPr>
        <w:t>Optimize Origin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we recognized income tax expense of $10.3 million, compared to $2.4 million for the three months ended September 30, 2025. The effective tax rate for both the three months ended September 30, 2026, and the three months ended September 30, 2025, was 21.5%.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Nine Months Ended September 30, 2026 and 2025</w:t>
      </w:r>
    </w:p>
    <w:p>
      <w:pPr>
        <w:spacing w:after="0" w:line="17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net income increased $53.6 million, or 117.4%, to $99.3 million for the nine months ended September 30, 2026, from $45.7 million for the nine months ended September 30, 2025. On a diluted EPS basis, we reported $3.19 per share for the nine months ended September 30, 2026, compared to $1.46 per share for the nine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Net Interest Margin</w:t>
      </w:r>
    </w:p>
    <w:p>
      <w:pPr>
        <w:spacing w:after="0" w:line="17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Net interest income for the nine months ended September 30, 2026, was $274.6 million, an increase of $30.3 million, or 12.4%, compared to the nine months ended September 30, 2025. The increase in net interest income was predominantly driven by a $26.6 million decrease in interest expense and a $3.7 million increase in interest income.</w:t>
      </w:r>
    </w:p>
    <w:p>
      <w:pPr>
        <w:spacing w:after="0" w:line="12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$26.6 million decrease in interest expense was mainly attributable to decreases of $23.1 million and $3.8 million in interest expense on interest-bearing deposits and subordinated indebtedness, respectively. The decrease in interest expense on interest-bearing deposits was primarily driven by lower rates, which reduced interest expense on money market, interest-bearing demand and time deposits by $16.1 million, $7.5 million and $2.5 million, respectively. The benefit from lower deposit rates was partially offset by a $7.3 million increase in interest expense on money market deposits due to higher average balances, while lower average time deposit balances reduced interest expense by $3.1 million. The $3.8 million decrease in interest expense on subordinated indebtedness was primarily attributable to the redemption of $145.1 million in principal amount of subordinated debentures during the year ended December 31, 2025, which reduced the average balance of subordinated debentures to $16.6 million for the nine months ended September 30, 2026, from $101.0 million for the nine months ended September 30, 2025.</w:t>
      </w:r>
    </w:p>
    <w:p>
      <w:pPr>
        <w:spacing w:after="0" w:line="13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Total interest income increased $3.7 million for the nine months ended September 30, 2026, compared to the nine months ended September 30, 2025, primarily due to increases of $3.4 million and $2.8 million in interest income earned on LHFI and total investment securities, respectively. These increases were partially offset by a decrease of $1.3 million in interest income earned on interest-earning balances due from banks. The increase in interest income on LHFI was primarily attributable to a $15.6 million net increase due to higher average balances, which was offset by a $12.2 million net decrease due to lower yields. Of the $15.6 million increase due to higher average balances, $7.1 million, $5.9 million, $3.1 million and $3.1 million were attributable to commercial and industrial, commercial real estate, mortgage warehouse lines of credit and multifamily residential real estate, respectively. Of the $12.2 million decrease in interest income attributable to lower yields, $10.4 million and $1.9 million were attributable to commercial and industrial loans and mortgage warehouse lines of credit, respectively. The increase in interest income on investment securities was primarily driven by improved yields resulting from the execution of our bond portfolio optimization strategy during the intervening period with the most recent transaction occurring in June 2025, in conjunction with our </w:t>
      </w:r>
      <w:r>
        <w:rPr>
          <w:rFonts w:ascii="Times New Roman" w:cs="Times New Roman" w:eastAsia="Times New Roman" w:hAnsi="Times New Roman"/>
          <w:sz w:val="18"/>
          <w:szCs w:val="18"/>
          <w:i w:val="1"/>
          <w:iCs w:val="1"/>
          <w:color w:val="auto"/>
        </w:rPr>
        <w:t>Optimize Origin</w:t>
      </w:r>
      <w:r>
        <w:rPr>
          <w:rFonts w:ascii="Times New Roman" w:cs="Times New Roman" w:eastAsia="Times New Roman" w:hAnsi="Times New Roman"/>
          <w:sz w:val="18"/>
          <w:szCs w:val="18"/>
          <w:color w:val="auto"/>
        </w:rPr>
        <w:t xml:space="preserve"> initiative, as well as, an increase in yields on principal cashflows that has been reinvested in higher yielding securities. The decrease in interest income on interest-earning balances due from banks was primarily attributed to $2.4 million due to lower yields, offset by $1.1 million increase due to higher average balances.</w:t>
      </w:r>
    </w:p>
    <w:p>
      <w:pPr>
        <w:spacing w:after="0" w:line="13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NIM-FTE was 3.86% for the nine months ended September 30, 2026, a 29-basis point increase from 3.57% for the nine months ended September 30, 2025. The improvement was mainly driven by an expanding interest rate spread, as the 58-basis-point decline in the average rate on total interest-bearing liabilities exceeded the 16-basis-point decline in the yield on interest-earning assets for the nine months ended September 30, 2026, compared to the nine months ended September 30, 2025. The average rate on total interest-bearing liabilities for the nine months ended September 30, 2026, was 2.68%, compared to 3.26% for the nine months ended September 30, 2025. The average yield on total interest-earning assets for the nine months ended September 30, 2026, was 5.69%, compared to 5.85% for the nine months ended September 30,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average consolidated balance sheet information, interest income, interest expense and the corresponding average yields earned, and rates paid for the nine months ended September 30, 2026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9"/>
                <w:szCs w:val="9"/>
                <w:b w:val="1"/>
                <w:bCs w:val="1"/>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52"/>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Balance</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Balance</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94"/>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2,571,587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111,692</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5.81 %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2,435,301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105,880</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5.81 %</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Construction/land/land development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682,276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34,660</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734,621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38,126</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Single-family residential real estate</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1,436,645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59,309</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1,453,765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59,213</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Multifamily residential real estate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25,878</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499,242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22,635</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2,151,773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106,977</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2,022,286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110,323</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 warehouse lines of credit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21,850</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20,657</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1,032</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186"/>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LHFI</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7,884,837</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361,398</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7,564,411</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358,034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held for sale</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86"/>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Loans receivable</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7,886,526</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361,476</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7,572,033</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358,410</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securities-taxable</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993,036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26,659</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984,440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24,535</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securities-non-taxable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4,635</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04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4"/>
                <w:szCs w:val="14"/>
                <w:color w:val="auto"/>
              </w:rPr>
              <w:t>Non-marketable equity securities held in other financial</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35,987</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1,366</w:t>
            </w:r>
          </w:p>
        </w:tc>
        <w:tc>
          <w:tcPr>
            <w:tcW w:w="128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30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institutions</w:t>
            </w: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Interest-earning deposits in banks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12,918</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430,924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9,569,211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407,054</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9,212,586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403,319</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551,065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537,635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10,120,276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9,750,221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40" w:type="dxa"/>
            <w:vAlign w:val="bottom"/>
            <w:tcBorders>
              <w:top w:val="single" w:sz="8" w:color="CCEEFF"/>
            </w:tcBorders>
          </w:tcPr>
          <w:p>
            <w:pPr>
              <w:spacing w:after="0"/>
              <w:rPr>
                <w:sz w:val="2"/>
                <w:szCs w:val="2"/>
                <w:color w:val="auto"/>
              </w:rPr>
            </w:pPr>
          </w:p>
        </w:tc>
        <w:tc>
          <w:tcPr>
            <w:tcW w:w="16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18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60" w:type="dxa"/>
            <w:vAlign w:val="bottom"/>
            <w:tcBorders>
              <w:top w:val="single" w:sz="8" w:color="CCEEFF"/>
              <w:bottom w:val="single" w:sz="8" w:color="auto"/>
            </w:tcBorders>
          </w:tcPr>
          <w:p>
            <w:pPr>
              <w:spacing w:after="0"/>
              <w:rPr>
                <w:sz w:val="2"/>
                <w:szCs w:val="2"/>
                <w:color w:val="auto"/>
              </w:rPr>
            </w:pPr>
          </w:p>
        </w:tc>
        <w:tc>
          <w:tcPr>
            <w:tcW w:w="90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80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1180" w:type="dxa"/>
            <w:vAlign w:val="bottom"/>
            <w:tcBorders>
              <w:top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1,923,858</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33,835</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2.35 %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1,931,569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41,457</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2.87 %</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Money market deposits</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3,515,637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75,701</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3,235,416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84,461</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Savings deposits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2,636</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319,422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Savings and interest-bearing transaction accounts</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5,744,576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112,172</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5,486,407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129,693</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Time deposits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780,518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17,639</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886,298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6,525,094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129,811</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6,372,705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152,957</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FHLB advances &amp; other borrowings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1,937</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Subordinated indebtedness</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722</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86"/>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6,613,352</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132,470</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6,526,059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159,020</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2,073,612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1,873,494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156,217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155,609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8,843,181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8,555,162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1,277,095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1,195,059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10,120,276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9,750,221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interest spread</w:t>
            </w: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840"/>
              <w:spacing w:after="0" w:line="159" w:lineRule="exact"/>
              <w:rPr>
                <w:sz w:val="20"/>
                <w:szCs w:val="20"/>
                <w:color w:val="auto"/>
              </w:rPr>
            </w:pPr>
            <w:r>
              <w:rPr>
                <w:rFonts w:ascii="Times New Roman" w:cs="Times New Roman" w:eastAsia="Times New Roman" w:hAnsi="Times New Roman"/>
                <w:sz w:val="14"/>
                <w:szCs w:val="14"/>
                <w:color w:val="auto"/>
              </w:rPr>
              <w:t>3.01 %</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ind w:left="860"/>
              <w:spacing w:after="0" w:line="159" w:lineRule="exact"/>
              <w:rPr>
                <w:sz w:val="20"/>
                <w:szCs w:val="20"/>
                <w:color w:val="auto"/>
              </w:rPr>
            </w:pPr>
            <w:r>
              <w:rPr>
                <w:rFonts w:ascii="Times New Roman" w:cs="Times New Roman" w:eastAsia="Times New Roman" w:hAnsi="Times New Roman"/>
                <w:sz w:val="14"/>
                <w:szCs w:val="14"/>
                <w:color w:val="auto"/>
              </w:rPr>
              <w:t>2.59 %</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 and margin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274,584</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244,299</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and margin - (tax equivalent)</w:t>
            </w:r>
            <w:r>
              <w:rPr>
                <w:rFonts w:ascii="Times New Roman" w:cs="Times New Roman" w:eastAsia="Times New Roman" w:hAnsi="Times New Roman"/>
                <w:sz w:val="18"/>
                <w:szCs w:val="18"/>
                <w:color w:val="auto"/>
                <w:vertAlign w:val="superscript"/>
              </w:rPr>
              <w:t>(3)</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276,044</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245,703</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4"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Nonaccrual loans are included in their respective loan category for the purpose of calculating the yield earned. All average balances are daily average balances.</w:t>
      </w:r>
    </w:p>
    <w:p>
      <w:pPr>
        <w:spacing w:after="0" w:line="27"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Yields/Rates are calculated on an actual/actual day count basis.</w:t>
      </w:r>
    </w:p>
    <w:p>
      <w:pPr>
        <w:spacing w:after="0" w:line="14" w:lineRule="exact"/>
        <w:rPr>
          <w:rFonts w:ascii="Times New Roman" w:cs="Times New Roman" w:eastAsia="Times New Roman" w:hAnsi="Times New Roman"/>
          <w:sz w:val="9"/>
          <w:szCs w:val="9"/>
          <w:color w:val="auto"/>
        </w:rPr>
      </w:pPr>
    </w:p>
    <w:p>
      <w:pPr>
        <w:ind w:left="340" w:right="320" w:hanging="332"/>
        <w:spacing w:after="0" w:line="233" w:lineRule="auto"/>
        <w:tabs>
          <w:tab w:leader="none" w:pos="327"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order to present pre-tax income and resulting yields on tax-exempt investments comparable to those on taxable investments, a tax-equivalent adjustment has been computed. This adjustment also includes income tax credits received on Qualified School Construction Bonds and income from tax-exempt investments, and tax credits were computed using a federal income tax rate of 21%.</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tables present the dollar amount of changes in interest income and interest expense for major components of interest-earning assets and interest-bearing liabilities. It distinguishes between the changes related to outstanding balances and those due to changes in interest rates. The change in interest attributable to rate changes has been determined by applying the change in rate between periods to average balances outstanding in the earlier period. The change in interest due to volume has been determined by applying the rate from the earlier period to the change in average balances outstanding between periods. For purposes of the below table, changes attributable to both rate and volume that cannot be segregated, including the difference in day count, have been allocated to rate.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gridSpan w:val="7"/>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2026 vs. Nine Months Ended</w:t>
            </w:r>
          </w:p>
        </w:tc>
      </w:tr>
      <w:tr>
        <w:trPr>
          <w:trHeight w:val="212"/>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6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6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Increase (Decrease) due to Change in</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160" w:type="dxa"/>
            <w:vAlign w:val="bottom"/>
          </w:tcPr>
          <w:p>
            <w:pPr>
              <w:spacing w:after="0"/>
              <w:rPr>
                <w:sz w:val="19"/>
                <w:szCs w:val="19"/>
                <w:color w:val="auto"/>
              </w:rPr>
            </w:pP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0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Yield/Rate</w:t>
            </w:r>
          </w:p>
        </w:tc>
        <w:tc>
          <w:tcPr>
            <w:tcW w:w="200" w:type="dxa"/>
            <w:vAlign w:val="bottom"/>
          </w:tcPr>
          <w:p>
            <w:pPr>
              <w:spacing w:after="0"/>
              <w:rPr>
                <w:sz w:val="19"/>
                <w:szCs w:val="19"/>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 Change</w:t>
            </w:r>
          </w:p>
        </w:tc>
      </w:tr>
      <w:tr>
        <w:trPr>
          <w:trHeight w:val="226"/>
        </w:trPr>
        <w:tc>
          <w:tcPr>
            <w:tcW w:w="6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real estate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w:t>
            </w:r>
          </w:p>
        </w:tc>
      </w:tr>
      <w:tr>
        <w:trPr>
          <w:trHeight w:val="227"/>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r>
      <w:tr>
        <w:trPr>
          <w:trHeight w:val="233"/>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27"/>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w:t>
            </w:r>
          </w:p>
        </w:tc>
      </w:tr>
      <w:tr>
        <w:trPr>
          <w:trHeight w:val="233"/>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w:t>
            </w:r>
          </w:p>
        </w:tc>
      </w:tr>
      <w:tr>
        <w:trPr>
          <w:trHeight w:val="227"/>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32"/>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27"/>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Loans held for sale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2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Loans receivable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r>
      <w:tr>
        <w:trPr>
          <w:trHeight w:val="227"/>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securities-taxable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w:t>
            </w:r>
          </w:p>
        </w:tc>
      </w:tr>
      <w:tr>
        <w:trPr>
          <w:trHeight w:val="23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securities-non-taxable</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27"/>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Non-marketable equity securities held in other financial institutions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Interest-earning deposits in banks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3,735</w:t>
            </w:r>
          </w:p>
        </w:tc>
      </w:tr>
      <w:tr>
        <w:trPr>
          <w:trHeight w:val="2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w:t>
            </w:r>
          </w:p>
        </w:tc>
      </w:tr>
      <w:tr>
        <w:trPr>
          <w:trHeight w:val="23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deposits</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(8,760)</w:t>
            </w:r>
          </w:p>
        </w:tc>
      </w:tr>
      <w:tr>
        <w:trPr>
          <w:trHeight w:val="22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 deposits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3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r>
      <w:tr>
        <w:trPr>
          <w:trHeight w:val="22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FHLB advances &amp; other borrowings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Subordinated indebtedness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(26,550)</w:t>
            </w:r>
          </w:p>
        </w:tc>
      </w:tr>
      <w:tr>
        <w:trPr>
          <w:trHeight w:val="251"/>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1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Total provision expense decreased by $35.5 million to $7.6 million for the nine months ended September 30, 2026, from $43.1 million for the nine months ended September 30, 2025, due to decreases of $34.1 million and $1.4 million in provision expense for loan credit losses and off-balance sheet commitments, respectively. The decrease was primarily attributable to the provision recorded during the nine months ended September 30, 2025, related to the borrower fraud impacting the Tricolor Holdings, LLC loan relationship, as discussed above.</w:t>
      </w:r>
    </w:p>
    <w:p>
      <w:pPr>
        <w:spacing w:after="0" w:line="12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charge-offs decreased $30.5 million, to $5.9 million for the nine months ended September 30, 2026, from $36.4 million for the nine months ended September 30, 2025, primarily due to net charge-offs related to the borrower fraud recognized during the nine months ended September 30, 2025, as discussed above. Net charge-offs to total average LHFI decreased to 0.10% for the nine months ended September 30, 2026, from 0.64% for the nine months ended September 30,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various components of and changes in our noninterest income for the periods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22"/>
                <w:szCs w:val="22"/>
                <w:color w:val="auto"/>
              </w:rPr>
            </w:pPr>
          </w:p>
        </w:tc>
        <w:tc>
          <w:tcPr>
            <w:tcW w:w="32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00" w:type="dxa"/>
            <w:vAlign w:val="bottom"/>
          </w:tcPr>
          <w:p>
            <w:pPr>
              <w:spacing w:after="0"/>
              <w:rPr>
                <w:sz w:val="22"/>
                <w:szCs w:val="22"/>
                <w:color w:val="auto"/>
              </w:rPr>
            </w:pPr>
          </w:p>
        </w:tc>
        <w:tc>
          <w:tcPr>
            <w:tcW w:w="196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1280" w:type="dxa"/>
            <w:vAlign w:val="bottom"/>
          </w:tcPr>
          <w:p>
            <w:pPr>
              <w:spacing w:after="0"/>
              <w:rPr>
                <w:sz w:val="22"/>
                <w:szCs w:val="22"/>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commission and fee income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fee income</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Mortgage banking revenue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(33.5)</w:t>
            </w:r>
          </w:p>
        </w:tc>
      </w:tr>
      <w:tr>
        <w:trPr>
          <w:trHeight w:val="232"/>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Swap fee income</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(85.5)</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equity investments</w:t>
            </w:r>
          </w:p>
        </w:tc>
        <w:tc>
          <w:tcPr>
            <w:tcW w:w="3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sales of securities, net</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99.8</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method investment loss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64.9</w:t>
            </w:r>
          </w:p>
        </w:tc>
      </w:tr>
      <w:tr>
        <w:trPr>
          <w:trHeight w:val="22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(46.3)</w:t>
            </w:r>
          </w:p>
        </w:tc>
      </w:tr>
      <w:tr>
        <w:trPr>
          <w:trHeight w:val="226"/>
        </w:trPr>
        <w:tc>
          <w:tcPr>
            <w:tcW w:w="4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r>
      <w:tr>
        <w:trPr>
          <w:trHeight w:val="20"/>
        </w:trPr>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Noninterest income for the nine months ended September 30, 2026, increased by $7.2 million, or 16.6%, to $50.3 million, compared to $43.1 million for the nine months ended September 30, 2025. The increase was primarily due to improvements of $14.4 million, $2.6 million and $2.0 million in loss on sales of securities, net, insurance commission and fee income and equity method investment loss, respectively. These increases were partially offset by decreases of $7.0 million, $2.9 million and $1.9 million in change in fair value of equity investments, swap fee income and other income, respectively.</w:t>
      </w:r>
    </w:p>
    <w:p>
      <w:pPr>
        <w:spacing w:after="0" w:line="108"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Loss on sales of securities, net</w:t>
      </w:r>
      <w:r>
        <w:rPr>
          <w:rFonts w:ascii="Times New Roman" w:cs="Times New Roman" w:eastAsia="Times New Roman" w:hAnsi="Times New Roman"/>
          <w:sz w:val="18"/>
          <w:szCs w:val="18"/>
          <w:color w:val="auto"/>
        </w:rPr>
        <w:t>. The increase in loss on sales of securities, net, resulted from a $14.4 million loss recognized during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months ended September 30, 2025, as a result of our bond portfolio optimization strategy in conjunction with our </w:t>
      </w:r>
      <w:r>
        <w:rPr>
          <w:rFonts w:ascii="Times New Roman" w:cs="Times New Roman" w:eastAsia="Times New Roman" w:hAnsi="Times New Roman"/>
          <w:sz w:val="18"/>
          <w:szCs w:val="18"/>
          <w:i w:val="1"/>
          <w:iCs w:val="1"/>
          <w:color w:val="auto"/>
        </w:rPr>
        <w:t>Optimize Origin</w:t>
      </w:r>
      <w:r>
        <w:rPr>
          <w:rFonts w:ascii="Times New Roman" w:cs="Times New Roman" w:eastAsia="Times New Roman" w:hAnsi="Times New Roman"/>
          <w:sz w:val="18"/>
          <w:szCs w:val="18"/>
          <w:color w:val="auto"/>
        </w:rPr>
        <w:t xml:space="preserve"> initiative.</w:t>
      </w:r>
    </w:p>
    <w:p>
      <w:pPr>
        <w:spacing w:after="0" w:line="91" w:lineRule="exact"/>
        <w:rPr>
          <w:sz w:val="20"/>
          <w:szCs w:val="20"/>
          <w:color w:val="auto"/>
        </w:rPr>
      </w:pPr>
    </w:p>
    <w:p>
      <w:pPr>
        <w:ind w:right="80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Insurance commission and fee income</w:t>
      </w:r>
      <w:r>
        <w:rPr>
          <w:rFonts w:ascii="Times New Roman" w:cs="Times New Roman" w:eastAsia="Times New Roman" w:hAnsi="Times New Roman"/>
          <w:sz w:val="18"/>
          <w:szCs w:val="18"/>
          <w:color w:val="auto"/>
        </w:rPr>
        <w:t>. The $2.6 million increase in insurance commission and fee income is the result of new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combined with strong renewal retention rates, primarily in property and casualty direct bill market sector.</w:t>
      </w:r>
    </w:p>
    <w:p>
      <w:pPr>
        <w:spacing w:after="0" w:line="11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Equity method investment loss</w:t>
      </w:r>
      <w:r>
        <w:rPr>
          <w:rFonts w:ascii="Times New Roman" w:cs="Times New Roman" w:eastAsia="Times New Roman" w:hAnsi="Times New Roman"/>
          <w:sz w:val="18"/>
          <w:szCs w:val="18"/>
          <w:color w:val="auto"/>
        </w:rPr>
        <w:t>. The $2.0 million decrease in equity method investment loss was primarily driven by an increase of $3.0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Argent Financial equity investment income recognized during the nine months ended September 30, 2026, partially offset by a $1.1 million increase in limited partnership investment losses recognized during the nine months ended September 30, 2026, compared to the same period in 2025.</w:t>
      </w:r>
    </w:p>
    <w:p>
      <w:pPr>
        <w:spacing w:after="0" w:line="11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equity investments. </w:t>
      </w:r>
      <w:r>
        <w:rPr>
          <w:rFonts w:ascii="Times New Roman" w:cs="Times New Roman" w:eastAsia="Times New Roman" w:hAnsi="Times New Roman"/>
          <w:sz w:val="18"/>
          <w:szCs w:val="18"/>
          <w:color w:val="auto"/>
        </w:rPr>
        <w:t>The $7.0 million decrease in the change in fair value of equity investments was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our additional investment in Argent Financial during the nine months ended September 30, 2025. Our additional investment resulted in the application of the equity method of accounting and required an upward adjustment to fair value immediately prior to the purchase. There was no comparable adjustment for the nine months ended September 30, 2026.</w:t>
      </w:r>
    </w:p>
    <w:p>
      <w:pPr>
        <w:spacing w:after="0" w:line="126"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Swap fee income. </w:t>
      </w:r>
      <w:r>
        <w:rPr>
          <w:rFonts w:ascii="Times New Roman" w:cs="Times New Roman" w:eastAsia="Times New Roman" w:hAnsi="Times New Roman"/>
          <w:sz w:val="18"/>
          <w:szCs w:val="18"/>
          <w:color w:val="auto"/>
        </w:rPr>
        <w:t>The $2.9 million decrease in swap fee income was the result of lower customer swap activity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and a change in the interest rate environment, reflecting reduced demand for hedging solutions compared to the nine months ended September 30, 2025.</w:t>
      </w:r>
    </w:p>
    <w:p>
      <w:pPr>
        <w:spacing w:after="0" w:line="119"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$1.9 million decrease in other income was primarily due to the prior-year recognition of $2.1 million in insurance recoveries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questioned banker activity first disclosed during the quarter ended June 30, 2024.</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noninterest expense for the periods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22"/>
                <w:szCs w:val="22"/>
                <w:color w:val="auto"/>
              </w:rPr>
            </w:pPr>
          </w:p>
        </w:tc>
        <w:tc>
          <w:tcPr>
            <w:tcW w:w="32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00" w:type="dxa"/>
            <w:vAlign w:val="bottom"/>
          </w:tcPr>
          <w:p>
            <w:pPr>
              <w:spacing w:after="0"/>
              <w:rPr>
                <w:sz w:val="22"/>
                <w:szCs w:val="22"/>
                <w:color w:val="auto"/>
              </w:rPr>
            </w:pPr>
          </w:p>
        </w:tc>
        <w:tc>
          <w:tcPr>
            <w:tcW w:w="196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1300" w:type="dxa"/>
            <w:vAlign w:val="bottom"/>
          </w:tcPr>
          <w:p>
            <w:pPr>
              <w:spacing w:after="0"/>
              <w:rPr>
                <w:sz w:val="22"/>
                <w:szCs w:val="22"/>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119,292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113,874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Occupancy and equipment,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Data processing</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w:t>
            </w:r>
          </w:p>
        </w:tc>
      </w:tr>
      <w:tr>
        <w:trPr>
          <w:trHeight w:val="226"/>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Office and operations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45.6</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(15.8)</w:t>
            </w:r>
          </w:p>
        </w:tc>
      </w:tr>
      <w:tr>
        <w:trPr>
          <w:trHeight w:val="232"/>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Electronic banking</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(20.6)</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w:t>
            </w:r>
          </w:p>
        </w:tc>
      </w:tr>
      <w:tr>
        <w:trPr>
          <w:trHeight w:val="23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assessments</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Loan-related expenses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w:t>
            </w:r>
          </w:p>
        </w:tc>
      </w:tr>
      <w:tr>
        <w:trPr>
          <w:trHeight w:val="23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(30.2)</w:t>
            </w:r>
          </w:p>
        </w:tc>
      </w:tr>
      <w:tr>
        <w:trPr>
          <w:trHeight w:val="226"/>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190,698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186,079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r>
      <w:tr>
        <w:trPr>
          <w:trHeight w:val="21"/>
        </w:trPr>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Noninterest expense for the nine months ended September 30, 2026, increased by $4.6 million, or 2.5%, to $190.7 million, compared to $186.1 million for the nine months ended September 30, 2025, primarily due to increases of $5.4 million, $1.8 million and $1.7 million in salaries and employee benefits, professional services and data processing, respectively. These increases were offset by decreases of $2.0 million, $1.3 million and $862,000, in other expense, occupancy and equipment, net, and electronic banking, respectively.</w:t>
      </w:r>
    </w:p>
    <w:p>
      <w:pPr>
        <w:spacing w:after="0" w:line="12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Salaries and employee benefits</w:t>
      </w:r>
      <w:r>
        <w:rPr>
          <w:rFonts w:ascii="Times New Roman" w:cs="Times New Roman" w:eastAsia="Times New Roman" w:hAnsi="Times New Roman"/>
          <w:sz w:val="18"/>
          <w:szCs w:val="18"/>
          <w:color w:val="auto"/>
        </w:rPr>
        <w:t>. The $5.4 million increase in salaries and employee benefits expense was primarily driven by an increase of $4.9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incentive compensation, including a $3.5 million increase in bonuses driven by improved performance. Also contributing to the increase was a net increase in salaries of $2.7 million primarily due to annual merit increases and a net increase of 6 FTE employees. These increases were partially offset by a reduction of $2.5 million in medical costs primarily due to favorable adjustments to prior estimates.</w:t>
      </w:r>
    </w:p>
    <w:p>
      <w:pPr>
        <w:spacing w:after="0" w:line="126"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Professional services</w:t>
      </w:r>
      <w:r>
        <w:rPr>
          <w:rFonts w:ascii="Times New Roman" w:cs="Times New Roman" w:eastAsia="Times New Roman" w:hAnsi="Times New Roman"/>
          <w:sz w:val="18"/>
          <w:szCs w:val="18"/>
          <w:color w:val="auto"/>
        </w:rPr>
        <w:t>. The $1.8 million increase in professional services expense was primarily due to a $1.2 million increase in consultant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2026, compared to nine months ended September 30, 2025, related to contract renegotiations that occurred during the first half of the 2026 fiscal year.</w:t>
      </w:r>
    </w:p>
    <w:p>
      <w:pPr>
        <w:spacing w:after="0" w:line="119"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Data processing</w:t>
      </w:r>
      <w:r>
        <w:rPr>
          <w:rFonts w:ascii="Times New Roman" w:cs="Times New Roman" w:eastAsia="Times New Roman" w:hAnsi="Times New Roman"/>
          <w:sz w:val="18"/>
          <w:szCs w:val="18"/>
          <w:color w:val="auto"/>
        </w:rPr>
        <w:t>. The $1.7 million increase in data processing expense was primarily due to an increase of $1.5 million in software-related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higher contract fees and the implementation of new loan origination and relationship management software.</w:t>
      </w:r>
    </w:p>
    <w:p>
      <w:pPr>
        <w:spacing w:after="0" w:line="104"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noninterest expense. </w:t>
      </w:r>
      <w:r>
        <w:rPr>
          <w:rFonts w:ascii="Times New Roman" w:cs="Times New Roman" w:eastAsia="Times New Roman" w:hAnsi="Times New Roman"/>
          <w:sz w:val="18"/>
          <w:szCs w:val="18"/>
          <w:color w:val="auto"/>
        </w:rPr>
        <w:t>The $2.0 million decrease in other noninterest expense was primarily due to a decrease of $2.6 million during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as a result of the release of litigation reserves related to the questioned banker activity first disclosed during the quarter ended June 30, 2024.</w:t>
      </w:r>
    </w:p>
    <w:p>
      <w:pPr>
        <w:spacing w:after="0" w:line="119"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Occupancy and equipment, net. </w:t>
      </w:r>
      <w:r>
        <w:rPr>
          <w:rFonts w:ascii="Times New Roman" w:cs="Times New Roman" w:eastAsia="Times New Roman" w:hAnsi="Times New Roman"/>
          <w:sz w:val="18"/>
          <w:szCs w:val="18"/>
          <w:color w:val="auto"/>
        </w:rPr>
        <w:t>The $1.3 million decrease in occupancy and equipment, net expense was primarily driven by a decrease of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million in depreciation expense. Of this decrease, $1.0 million was attributed to leasehold improvements and $429,000 attributed to furniture, fixtures and equipment depreciation, both primarily as a result of the closure of six branch locations during 2025 in conjunction with </w:t>
      </w:r>
      <w:r>
        <w:rPr>
          <w:rFonts w:ascii="Times New Roman" w:cs="Times New Roman" w:eastAsia="Times New Roman" w:hAnsi="Times New Roman"/>
          <w:sz w:val="18"/>
          <w:szCs w:val="18"/>
          <w:i w:val="1"/>
          <w:iCs w:val="1"/>
          <w:color w:val="auto"/>
        </w:rPr>
        <w:t>Optimize Origin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Electronic banking. </w:t>
      </w:r>
      <w:r>
        <w:rPr>
          <w:rFonts w:ascii="Times New Roman" w:cs="Times New Roman" w:eastAsia="Times New Roman" w:hAnsi="Times New Roman"/>
          <w:sz w:val="18"/>
          <w:szCs w:val="18"/>
          <w:color w:val="auto"/>
        </w:rPr>
        <w:t>The $862,000 decrease in electronic banking is primarily due to a $767,000 total decrease in card processing and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expenses for the nine months ended September 30, 2026, compared to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we recognized income tax expense of $27.2 million, compared to $12.5 million for the nine months ended September 30, 2025. Our effective tax rate was 21.5% for both the nine months ended September 30, 2026 and 2025.</w:t>
      </w:r>
    </w:p>
    <w:p>
      <w:pPr>
        <w:spacing w:after="0" w:line="104" w:lineRule="exact"/>
        <w:rPr>
          <w:sz w:val="20"/>
          <w:szCs w:val="20"/>
          <w:color w:val="auto"/>
        </w:rPr>
      </w:pPr>
    </w:p>
    <w:p>
      <w:pPr>
        <w:ind w:right="48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Comparison of Financial Condition at September 30, 2026, and December 31, 2025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Total assets increased by $380.4 million, or 3.9%, to $10.11 billion at September 30, 2026, from $9.72 billion at December 31, 2025. The increase was primarily driven by an increase of $423.3 million in LHFI. LHFI was $8.09 billion at September 30, 2026, an increase of 5.5% from $7.67 billion at December 31, 2025.</w:t>
      </w:r>
    </w:p>
    <w:p>
      <w:pPr>
        <w:spacing w:after="0" w:line="12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Total liabilities increased by $363.4 million, or 4.3%, to $8.84 billion at September 30, 2026, from $8.48 billion at December 31, 2025. The increase was primarily driven by increases of $365.9 million in total deposits. Total deposits were $8.67 billion at September 30, 2026, an increase of 4.4% from $8.31 billion at December 31, 2025, primarily due to increases of $334.1 million and $196.6 million in money market and noninterest-bearing deposits, respectively. These increases were partially offset by a $104.5 million and a $59.8 million decrease in interest-bearing demand deposits and time deposits,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category of interest-earning assets, and interest income earned on our loan portfolio is our primary source of income. At September 30, 2026, 74.9% of the loan portfolio held for investment was comprised of commercial and industrial loans, including mortgage warehouse lines of credit, commercial real estate and construction/land/land development loans, which were primarily originated within our existing market areas, compared to 73.7% at December 31, 2025.</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ending balance of our loan portfolio held for investment at the dates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2026 vs. 2025</w:t>
            </w:r>
          </w:p>
        </w:tc>
      </w:tr>
      <w:tr>
        <w:trPr>
          <w:trHeight w:val="22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312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6"/>
                <w:szCs w:val="16"/>
                <w:color w:val="auto"/>
              </w:rPr>
              <w:t>Commercial real estate (“CRE”)</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2,722,473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2,523,905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198,568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2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776,682</w:t>
            </w:r>
          </w:p>
        </w:tc>
        <w:tc>
          <w:tcPr>
            <w:tcW w:w="120" w:type="dxa"/>
            <w:vAlign w:val="bottom"/>
          </w:tcPr>
          <w:p>
            <w:pPr>
              <w:spacing w:after="0"/>
              <w:rPr>
                <w:sz w:val="19"/>
                <w:szCs w:val="19"/>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611,220</w:t>
            </w:r>
          </w:p>
        </w:tc>
        <w:tc>
          <w:tcPr>
            <w:tcW w:w="120" w:type="dxa"/>
            <w:vAlign w:val="bottom"/>
          </w:tcPr>
          <w:p>
            <w:pPr>
              <w:spacing w:after="0"/>
              <w:rPr>
                <w:sz w:val="19"/>
                <w:szCs w:val="19"/>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165,462</w:t>
            </w:r>
          </w:p>
        </w:tc>
        <w:tc>
          <w:tcPr>
            <w:tcW w:w="1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27.1</w:t>
            </w:r>
          </w:p>
        </w:tc>
      </w:tr>
      <w:tr>
        <w:trPr>
          <w:trHeight w:val="23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1,437,148</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1,444,611</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r>
      <w:tr>
        <w:trPr>
          <w:trHeight w:val="22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577,102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553,149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23,953</w:t>
            </w:r>
          </w:p>
        </w:tc>
        <w:tc>
          <w:tcPr>
            <w:tcW w:w="144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r>
      <w:tr>
        <w:trPr>
          <w:trHeight w:val="22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real estate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5,513,405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5,132,885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380,520</w:t>
            </w:r>
          </w:p>
        </w:tc>
        <w:tc>
          <w:tcPr>
            <w:tcW w:w="14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r>
      <w:tr>
        <w:trPr>
          <w:trHeight w:val="22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2,122,572</w:t>
            </w:r>
          </w:p>
        </w:tc>
        <w:tc>
          <w:tcPr>
            <w:tcW w:w="120" w:type="dxa"/>
            <w:vAlign w:val="bottom"/>
          </w:tcPr>
          <w:p>
            <w:pPr>
              <w:spacing w:after="0"/>
              <w:rPr>
                <w:sz w:val="19"/>
                <w:szCs w:val="19"/>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1,989,218</w:t>
            </w:r>
          </w:p>
        </w:tc>
        <w:tc>
          <w:tcPr>
            <w:tcW w:w="120" w:type="dxa"/>
            <w:vAlign w:val="bottom"/>
          </w:tcPr>
          <w:p>
            <w:pPr>
              <w:spacing w:after="0"/>
              <w:rPr>
                <w:sz w:val="19"/>
                <w:szCs w:val="19"/>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133,354</w:t>
            </w:r>
          </w:p>
        </w:tc>
        <w:tc>
          <w:tcPr>
            <w:tcW w:w="1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r>
      <w:tr>
        <w:trPr>
          <w:trHeight w:val="23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439,677</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528,781</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(89,104)</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(16.9)</w:t>
            </w:r>
          </w:p>
        </w:tc>
      </w:tr>
      <w:tr>
        <w:trPr>
          <w:trHeight w:val="227"/>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44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(7.6)</w:t>
            </w:r>
          </w:p>
        </w:tc>
      </w:tr>
      <w:tr>
        <w:trPr>
          <w:trHeight w:val="251"/>
        </w:trPr>
        <w:tc>
          <w:tcPr>
            <w:tcW w:w="3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LHFI</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8,094,172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7,670,917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423,255</w:t>
            </w:r>
          </w:p>
        </w:tc>
        <w:tc>
          <w:tcPr>
            <w:tcW w:w="14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w:t>
      </w:r>
    </w:p>
    <w:p>
      <w:pPr>
        <w:spacing w:after="0" w:line="64"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1"/>
          <w:szCs w:val="11"/>
          <w:b w:val="1"/>
          <w:bCs w:val="1"/>
          <w:color w:val="002069"/>
        </w:rPr>
      </w:pPr>
      <w:r>
        <w:rPr>
          <w:rFonts w:ascii="Times New Roman" w:cs="Times New Roman" w:eastAsia="Times New Roman" w:hAnsi="Times New Roman"/>
          <w:sz w:val="14"/>
          <w:szCs w:val="14"/>
          <w:color w:val="auto"/>
        </w:rPr>
        <w:t>Includes owner-occupied commercial real estate of $1.12 billion and $1.00 billion at September 30, 2026, and December 31, 2025, respectively.</w:t>
      </w:r>
    </w:p>
    <w:p>
      <w:pPr>
        <w:spacing w:after="0" w:line="1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2026, total LHFI were $8.09 billion, an increase of $423.3 million, or 5.5%, compared to $7.67 billion at December 31, 2025. The increase was primarily driven by growth of $198.6 million, $165.5 million and $133.4 million in commercial real estate loans, construction/land/land development loans, commercial and industrial loans, respectively. The growth was partially offset by a decline of $89.1 million in mortgage warehouse lines of credit loans. Total LHFI at September 30, 2026, excluding mortgage warehouse lines of credit, were $7.65 billion, reflecting an increase of $512.4 million, or 7.2%, compared to December 31, 2025.</w:t>
      </w:r>
    </w:p>
    <w:p>
      <w:pPr>
        <w:spacing w:after="0" w:line="12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33.7%, of our LHFI portfolio at September 30, 2026, consisted of commercial real estate loans secured by real estate properties. Such loans can involve high principal loan amounts, and the repayment of these loans is dependent, in large part, on a borrower’s ongoing business operations or on income generated from the properties that are leased to third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commercial real estate loan portfolio, by portfolio industry sector and collateral location as of September 30,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0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Louisiana</w:t>
            </w:r>
          </w:p>
        </w:tc>
        <w:tc>
          <w:tcPr>
            <w:tcW w:w="20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Mississippi</w:t>
            </w:r>
          </w:p>
        </w:tc>
        <w:tc>
          <w:tcPr>
            <w:tcW w:w="160" w:type="dxa"/>
            <w:vAlign w:val="bottom"/>
          </w:tcPr>
          <w:p>
            <w:pPr>
              <w:spacing w:after="0"/>
              <w:rPr>
                <w:sz w:val="14"/>
                <w:szCs w:val="14"/>
                <w:color w:val="auto"/>
              </w:rPr>
            </w:pPr>
          </w:p>
        </w:tc>
        <w:tc>
          <w:tcPr>
            <w:tcW w:w="126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Alabama and</w:t>
            </w:r>
          </w:p>
        </w:tc>
        <w:tc>
          <w:tcPr>
            <w:tcW w:w="10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All Other States</w:t>
            </w:r>
          </w:p>
        </w:tc>
        <w:tc>
          <w:tcPr>
            <w:tcW w:w="280" w:type="dxa"/>
            <w:vAlign w:val="bottom"/>
          </w:tcPr>
          <w:p>
            <w:pPr>
              <w:spacing w:after="0"/>
              <w:rPr>
                <w:sz w:val="14"/>
                <w:szCs w:val="14"/>
                <w:color w:val="auto"/>
              </w:rPr>
            </w:pPr>
          </w:p>
        </w:tc>
        <w:tc>
          <w:tcPr>
            <w:tcW w:w="10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Florida</w:t>
            </w: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Non-owner-occupied CRE:</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 building</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365,761</w:t>
            </w:r>
          </w:p>
        </w:tc>
        <w:tc>
          <w:tcPr>
            <w:tcW w:w="0" w:type="dxa"/>
            <w:vAlign w:val="bottom"/>
          </w:tcPr>
          <w:p>
            <w:pPr>
              <w:spacing w:after="0"/>
              <w:rPr>
                <w:sz w:val="1"/>
                <w:szCs w:val="1"/>
                <w:color w:val="auto"/>
              </w:rPr>
            </w:pPr>
          </w:p>
        </w:tc>
      </w:tr>
      <w:tr>
        <w:trPr>
          <w:trHeight w:val="227"/>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Retail shopping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475,641</w:t>
            </w:r>
          </w:p>
        </w:tc>
        <w:tc>
          <w:tcPr>
            <w:tcW w:w="0" w:type="dxa"/>
            <w:vAlign w:val="bottom"/>
          </w:tcPr>
          <w:p>
            <w:pPr>
              <w:spacing w:after="0"/>
              <w:rPr>
                <w:sz w:val="1"/>
                <w:szCs w:val="1"/>
                <w:color w:val="auto"/>
              </w:rPr>
            </w:pPr>
          </w:p>
        </w:tc>
      </w:tr>
      <w:tr>
        <w:trPr>
          <w:trHeight w:val="23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&amp; construction</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198,303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296,702</w:t>
            </w:r>
          </w:p>
        </w:tc>
        <w:tc>
          <w:tcPr>
            <w:tcW w:w="0" w:type="dxa"/>
            <w:vAlign w:val="bottom"/>
          </w:tcPr>
          <w:p>
            <w:pPr>
              <w:spacing w:after="0"/>
              <w:rPr>
                <w:sz w:val="1"/>
                <w:szCs w:val="1"/>
                <w:color w:val="auto"/>
              </w:rPr>
            </w:pPr>
          </w:p>
        </w:tc>
      </w:tr>
      <w:tr>
        <w:trPr>
          <w:trHeight w:val="227"/>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Healthcare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146,784</w:t>
            </w:r>
          </w:p>
        </w:tc>
        <w:tc>
          <w:tcPr>
            <w:tcW w:w="0" w:type="dxa"/>
            <w:vAlign w:val="bottom"/>
          </w:tcPr>
          <w:p>
            <w:pPr>
              <w:spacing w:after="0"/>
              <w:rPr>
                <w:sz w:val="1"/>
                <w:szCs w:val="1"/>
                <w:color w:val="auto"/>
              </w:rPr>
            </w:pPr>
          </w:p>
        </w:tc>
      </w:tr>
      <w:tr>
        <w:trPr>
          <w:trHeight w:val="232"/>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Hotels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110,527</w:t>
            </w:r>
          </w:p>
        </w:tc>
        <w:tc>
          <w:tcPr>
            <w:tcW w:w="0" w:type="dxa"/>
            <w:vAlign w:val="bottom"/>
          </w:tcPr>
          <w:p>
            <w:pPr>
              <w:spacing w:after="0"/>
              <w:rPr>
                <w:sz w:val="1"/>
                <w:szCs w:val="1"/>
                <w:color w:val="auto"/>
              </w:rPr>
            </w:pPr>
          </w:p>
        </w:tc>
      </w:tr>
      <w:tr>
        <w:trPr>
          <w:trHeight w:val="227"/>
        </w:trPr>
        <w:tc>
          <w:tcPr>
            <w:tcW w:w="2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 other sectors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211,720</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non-owner-occupied CRE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1,057,881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107,392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1,607,135</w:t>
            </w:r>
          </w:p>
        </w:tc>
        <w:tc>
          <w:tcPr>
            <w:tcW w:w="0" w:type="dxa"/>
            <w:vAlign w:val="bottom"/>
          </w:tcPr>
          <w:p>
            <w:pPr>
              <w:spacing w:after="0"/>
              <w:rPr>
                <w:sz w:val="1"/>
                <w:szCs w:val="1"/>
                <w:color w:val="auto"/>
              </w:rPr>
            </w:pPr>
          </w:p>
        </w:tc>
      </w:tr>
      <w:tr>
        <w:trPr>
          <w:trHeight w:val="207"/>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Owner-occupied CRE: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&amp; construction</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313,422</w:t>
            </w:r>
          </w:p>
        </w:tc>
        <w:tc>
          <w:tcPr>
            <w:tcW w:w="0" w:type="dxa"/>
            <w:vAlign w:val="bottom"/>
          </w:tcPr>
          <w:p>
            <w:pPr>
              <w:spacing w:after="0"/>
              <w:rPr>
                <w:sz w:val="1"/>
                <w:szCs w:val="1"/>
                <w:color w:val="auto"/>
              </w:rPr>
            </w:pPr>
          </w:p>
        </w:tc>
      </w:tr>
      <w:tr>
        <w:trPr>
          <w:trHeight w:val="226"/>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Retail shopping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195,467</w:t>
            </w:r>
          </w:p>
        </w:tc>
        <w:tc>
          <w:tcPr>
            <w:tcW w:w="0" w:type="dxa"/>
            <w:vAlign w:val="bottom"/>
          </w:tcPr>
          <w:p>
            <w:pPr>
              <w:spacing w:after="0"/>
              <w:rPr>
                <w:sz w:val="1"/>
                <w:szCs w:val="1"/>
                <w:color w:val="auto"/>
              </w:rPr>
            </w:pPr>
          </w:p>
        </w:tc>
      </w:tr>
      <w:tr>
        <w:trPr>
          <w:trHeight w:val="23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Restaurants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97,680</w:t>
            </w:r>
          </w:p>
        </w:tc>
        <w:tc>
          <w:tcPr>
            <w:tcW w:w="0" w:type="dxa"/>
            <w:vAlign w:val="bottom"/>
          </w:tcPr>
          <w:p>
            <w:pPr>
              <w:spacing w:after="0"/>
              <w:rPr>
                <w:sz w:val="1"/>
                <w:szCs w:val="1"/>
                <w:color w:val="auto"/>
              </w:rPr>
            </w:pPr>
          </w:p>
        </w:tc>
      </w:tr>
      <w:tr>
        <w:trPr>
          <w:trHeight w:val="227"/>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Healthcare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76,910</w:t>
            </w:r>
          </w:p>
        </w:tc>
        <w:tc>
          <w:tcPr>
            <w:tcW w:w="0" w:type="dxa"/>
            <w:vAlign w:val="bottom"/>
          </w:tcPr>
          <w:p>
            <w:pPr>
              <w:spacing w:after="0"/>
              <w:rPr>
                <w:sz w:val="1"/>
                <w:szCs w:val="1"/>
                <w:color w:val="auto"/>
              </w:rPr>
            </w:pPr>
          </w:p>
        </w:tc>
      </w:tr>
      <w:tr>
        <w:trPr>
          <w:trHeight w:val="232"/>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 services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59,072</w:t>
            </w:r>
          </w:p>
        </w:tc>
        <w:tc>
          <w:tcPr>
            <w:tcW w:w="0" w:type="dxa"/>
            <w:vAlign w:val="bottom"/>
          </w:tcPr>
          <w:p>
            <w:pPr>
              <w:spacing w:after="0"/>
              <w:rPr>
                <w:sz w:val="1"/>
                <w:szCs w:val="1"/>
                <w:color w:val="auto"/>
              </w:rPr>
            </w:pPr>
          </w:p>
        </w:tc>
      </w:tr>
      <w:tr>
        <w:trPr>
          <w:trHeight w:val="227"/>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Entertainment &amp; recreation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51,439</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 other sectors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321,348</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owner-occupied CRE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708,314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231,579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49,190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1,115,338</w:t>
            </w:r>
          </w:p>
        </w:tc>
        <w:tc>
          <w:tcPr>
            <w:tcW w:w="0" w:type="dxa"/>
            <w:vAlign w:val="bottom"/>
          </w:tcPr>
          <w:p>
            <w:pPr>
              <w:spacing w:after="0"/>
              <w:rPr>
                <w:sz w:val="1"/>
                <w:szCs w:val="1"/>
                <w:color w:val="auto"/>
              </w:rPr>
            </w:pPr>
          </w:p>
        </w:tc>
      </w:tr>
      <w:tr>
        <w:trPr>
          <w:trHeight w:val="25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2,722,473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 Maturity Analysis</w:t>
      </w:r>
    </w:p>
    <w:p>
      <w:pPr>
        <w:spacing w:after="0" w:line="17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maturity distribution of our LHFI at September 30, 2026. The table also presents the portion of our loans that have fixed interest rates, rather than interest rates that fluctuate over the life of the loans, based on changes in the interest rate environment.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After One Year</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After Five Years</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Through Fifteen</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After Fifteen Years</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 Five Years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5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682,079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1,830,665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209,729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2,722,473</w:t>
            </w:r>
          </w:p>
        </w:tc>
        <w:tc>
          <w:tcPr>
            <w:tcW w:w="0" w:type="dxa"/>
            <w:vAlign w:val="bottom"/>
          </w:tcPr>
          <w:p>
            <w:pPr>
              <w:spacing w:after="0"/>
              <w:rPr>
                <w:sz w:val="1"/>
                <w:szCs w:val="1"/>
                <w:color w:val="auto"/>
              </w:rPr>
            </w:pPr>
          </w:p>
        </w:tc>
      </w:tr>
      <w:tr>
        <w:trPr>
          <w:trHeight w:val="227"/>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776,682</w:t>
            </w:r>
          </w:p>
        </w:tc>
        <w:tc>
          <w:tcPr>
            <w:tcW w:w="0" w:type="dxa"/>
            <w:vAlign w:val="bottom"/>
          </w:tcPr>
          <w:p>
            <w:pPr>
              <w:spacing w:after="0"/>
              <w:rPr>
                <w:sz w:val="1"/>
                <w:szCs w:val="1"/>
                <w:color w:val="auto"/>
              </w:rPr>
            </w:pPr>
          </w:p>
        </w:tc>
      </w:tr>
      <w:tr>
        <w:trPr>
          <w:trHeight w:val="232"/>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390,863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850,855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1,437,148</w:t>
            </w:r>
          </w:p>
        </w:tc>
        <w:tc>
          <w:tcPr>
            <w:tcW w:w="0" w:type="dxa"/>
            <w:vAlign w:val="bottom"/>
          </w:tcPr>
          <w:p>
            <w:pPr>
              <w:spacing w:after="0"/>
              <w:rPr>
                <w:sz w:val="1"/>
                <w:szCs w:val="1"/>
                <w:color w:val="auto"/>
              </w:rPr>
            </w:pPr>
          </w:p>
        </w:tc>
      </w:tr>
      <w:tr>
        <w:trPr>
          <w:trHeight w:val="226"/>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577,102</w:t>
            </w:r>
          </w:p>
        </w:tc>
        <w:tc>
          <w:tcPr>
            <w:tcW w:w="0" w:type="dxa"/>
            <w:vAlign w:val="bottom"/>
          </w:tcPr>
          <w:p>
            <w:pPr>
              <w:spacing w:after="0"/>
              <w:rPr>
                <w:sz w:val="1"/>
                <w:szCs w:val="1"/>
                <w:color w:val="auto"/>
              </w:rPr>
            </w:pPr>
          </w:p>
        </w:tc>
      </w:tr>
      <w:tr>
        <w:trPr>
          <w:trHeight w:val="226"/>
        </w:trPr>
        <w:tc>
          <w:tcPr>
            <w:tcW w:w="3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real estate</w:t>
            </w: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1,334,071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2,998,613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328,741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851,980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5,513,405</w:t>
            </w:r>
          </w:p>
        </w:tc>
        <w:tc>
          <w:tcPr>
            <w:tcW w:w="0" w:type="dxa"/>
            <w:vAlign w:val="bottom"/>
          </w:tcPr>
          <w:p>
            <w:pPr>
              <w:spacing w:after="0"/>
              <w:rPr>
                <w:sz w:val="1"/>
                <w:szCs w:val="1"/>
                <w:color w:val="auto"/>
              </w:rPr>
            </w:pPr>
          </w:p>
        </w:tc>
      </w:tr>
      <w:tr>
        <w:trPr>
          <w:trHeight w:val="226"/>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1,098,866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2,122,572</w:t>
            </w: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439,677</w:t>
            </w:r>
          </w:p>
        </w:tc>
        <w:tc>
          <w:tcPr>
            <w:tcW w:w="0" w:type="dxa"/>
            <w:vAlign w:val="bottom"/>
          </w:tcPr>
          <w:p>
            <w:pPr>
              <w:spacing w:after="0"/>
              <w:rPr>
                <w:sz w:val="1"/>
                <w:szCs w:val="1"/>
                <w:color w:val="auto"/>
              </w:rPr>
            </w:pPr>
          </w:p>
        </w:tc>
      </w:tr>
      <w:tr>
        <w:trPr>
          <w:trHeight w:val="226"/>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18,518</w:t>
            </w:r>
          </w:p>
        </w:tc>
        <w:tc>
          <w:tcPr>
            <w:tcW w:w="0" w:type="dxa"/>
            <w:vAlign w:val="bottom"/>
          </w:tcPr>
          <w:p>
            <w:pPr>
              <w:spacing w:after="0"/>
              <w:rPr>
                <w:sz w:val="1"/>
                <w:szCs w:val="1"/>
                <w:color w:val="auto"/>
              </w:rPr>
            </w:pPr>
          </w:p>
        </w:tc>
      </w:tr>
      <w:tr>
        <w:trPr>
          <w:trHeight w:val="251"/>
        </w:trPr>
        <w:tc>
          <w:tcPr>
            <w:tcW w:w="3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LHFI</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4,108,182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8,094,172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with fixed rates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882,712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1,694,875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3,059,639</w:t>
            </w:r>
          </w:p>
        </w:tc>
        <w:tc>
          <w:tcPr>
            <w:tcW w:w="0" w:type="dxa"/>
            <w:vAlign w:val="bottom"/>
          </w:tcPr>
          <w:p>
            <w:pPr>
              <w:spacing w:after="0"/>
              <w:rPr>
                <w:sz w:val="1"/>
                <w:szCs w:val="1"/>
                <w:color w:val="auto"/>
              </w:rPr>
            </w:pPr>
          </w:p>
        </w:tc>
      </w:tr>
      <w:tr>
        <w:trPr>
          <w:trHeight w:val="226"/>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with variable rates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1,833,580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2,413,307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664,125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5,034,533</w:t>
            </w:r>
          </w:p>
        </w:tc>
        <w:tc>
          <w:tcPr>
            <w:tcW w:w="0" w:type="dxa"/>
            <w:vAlign w:val="bottom"/>
          </w:tcPr>
          <w:p>
            <w:pPr>
              <w:spacing w:after="0"/>
              <w:rPr>
                <w:sz w:val="1"/>
                <w:szCs w:val="1"/>
                <w:color w:val="auto"/>
              </w:rPr>
            </w:pPr>
          </w:p>
        </w:tc>
      </w:tr>
      <w:tr>
        <w:trPr>
          <w:trHeight w:val="251"/>
        </w:trPr>
        <w:tc>
          <w:tcPr>
            <w:tcW w:w="3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4,108,182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8,094,172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17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Nonperforming assets consist of nonperforming/nonaccrual loans and property acquired through foreclosures or repossession, as well as bank-owned property not in use and listed for sale.</w:t>
      </w:r>
    </w:p>
    <w:p>
      <w:pPr>
        <w:spacing w:after="0" w:line="10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Loans are placed on nonaccrual status when management believes that the borrower’s financial condition, after giving consideration to economic and business conditions, and collection efforts, is such that collection of interest is doubtful, or generally when loans are 90 days or more past due. Loans may be placed on nonaccrual status even if the contractual payments are not past due if information becomes available that causes substantial doubt about the borrower’s ability to meet the contractual obligations of the loan. When accrual of interest is discontinued, all unpaid accrued interest is reversed. Past due status is based on the contractual terms of the loan. Interest income on nonaccrual loans may be recognized to the extent cash payments are received, but payments received are usually applied to principal. Nonaccrual loans are returned to accrual status when all the principal and interest amounts contractually due are brought current and future payments are reasonably assured. If a loan is determined by management to be uncollectible, regardless of size, the portion of the loan determined to be uncollectible is then charged to the ALCL.</w:t>
      </w:r>
    </w:p>
    <w:p>
      <w:pPr>
        <w:spacing w:after="0" w:line="138"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We manage the quality of our lending portfolio in part through a disciplined underwriting policy and through continual monitoring of loan performance and borrowers’ financial condition. There can be no assurance, however, that our loan portfolio will not become subject to losses due to declines in economic conditions or deterioration in the financial condition of our borrowers.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nonperforming loans and nonperforming assets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LHFI:</w:t>
            </w:r>
          </w:p>
        </w:tc>
        <w:tc>
          <w:tcPr>
            <w:tcW w:w="200" w:type="dxa"/>
            <w:vAlign w:val="bottom"/>
          </w:tcPr>
          <w:p>
            <w:pPr>
              <w:spacing w:after="0"/>
              <w:rPr>
                <w:sz w:val="24"/>
                <w:szCs w:val="24"/>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24"/>
                <w:szCs w:val="24"/>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71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13,212</w:t>
            </w:r>
          </w:p>
        </w:tc>
        <w:tc>
          <w:tcPr>
            <w:tcW w:w="0" w:type="dxa"/>
            <w:vAlign w:val="bottom"/>
          </w:tcPr>
          <w:p>
            <w:pPr>
              <w:spacing w:after="0"/>
              <w:rPr>
                <w:sz w:val="1"/>
                <w:szCs w:val="1"/>
                <w:color w:val="auto"/>
              </w:rPr>
            </w:pP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0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16,388</w:t>
            </w:r>
          </w:p>
        </w:tc>
        <w:tc>
          <w:tcPr>
            <w:tcW w:w="0" w:type="dxa"/>
            <w:vAlign w:val="bottom"/>
          </w:tcPr>
          <w:p>
            <w:pPr>
              <w:spacing w:after="0"/>
              <w:rPr>
                <w:sz w:val="1"/>
                <w:szCs w:val="1"/>
                <w:color w:val="auto"/>
              </w:rPr>
            </w:pPr>
          </w:p>
        </w:tc>
      </w:tr>
      <w:tr>
        <w:trPr>
          <w:trHeight w:val="233"/>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37,100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39,480</w:t>
            </w:r>
          </w:p>
        </w:tc>
        <w:tc>
          <w:tcPr>
            <w:tcW w:w="0" w:type="dxa"/>
            <w:vAlign w:val="bottom"/>
          </w:tcPr>
          <w:p>
            <w:pPr>
              <w:spacing w:after="0"/>
              <w:rPr>
                <w:sz w:val="1"/>
                <w:szCs w:val="1"/>
                <w:color w:val="auto"/>
              </w:rPr>
            </w:pP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11,919</w:t>
            </w:r>
          </w:p>
        </w:tc>
        <w:tc>
          <w:tcPr>
            <w:tcW w:w="0" w:type="dxa"/>
            <w:vAlign w:val="bottom"/>
          </w:tcPr>
          <w:p>
            <w:pPr>
              <w:spacing w:after="0"/>
              <w:rPr>
                <w:sz w:val="1"/>
                <w:szCs w:val="1"/>
                <w:color w:val="auto"/>
              </w:rPr>
            </w:pPr>
          </w:p>
        </w:tc>
      </w:tr>
      <w:tr>
        <w:trPr>
          <w:trHeight w:val="233"/>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20"/>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nonperforming LHFI</w:t>
            </w:r>
          </w:p>
        </w:tc>
        <w:tc>
          <w:tcPr>
            <w:tcW w:w="20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81,184</w:t>
            </w:r>
          </w:p>
        </w:tc>
        <w:tc>
          <w:tcPr>
            <w:tcW w:w="0" w:type="dxa"/>
            <w:vAlign w:val="bottom"/>
          </w:tcPr>
          <w:p>
            <w:pPr>
              <w:spacing w:after="0"/>
              <w:rPr>
                <w:sz w:val="1"/>
                <w:szCs w:val="1"/>
                <w:color w:val="auto"/>
              </w:rPr>
            </w:pPr>
          </w:p>
        </w:tc>
      </w:tr>
      <w:tr>
        <w:trPr>
          <w:trHeight w:val="24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 Commercial real estate</w:t>
            </w:r>
          </w:p>
        </w:tc>
        <w:tc>
          <w:tcPr>
            <w:tcW w:w="20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real estate</w:t>
            </w: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2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real estate owned</w:t>
            </w:r>
          </w:p>
        </w:tc>
        <w:tc>
          <w:tcPr>
            <w:tcW w:w="20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4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repossessed assets owned</w:t>
            </w:r>
          </w:p>
        </w:tc>
        <w:tc>
          <w:tcPr>
            <w:tcW w:w="20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2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repossessed assets owned</w:t>
            </w:r>
          </w:p>
        </w:tc>
        <w:tc>
          <w:tcPr>
            <w:tcW w:w="20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251"/>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81,878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LHFI</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14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8,094,172</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7,670,917</w:t>
            </w:r>
          </w:p>
        </w:tc>
        <w:tc>
          <w:tcPr>
            <w:tcW w:w="0" w:type="dxa"/>
            <w:vAlign w:val="bottom"/>
          </w:tcPr>
          <w:p>
            <w:pPr>
              <w:spacing w:after="0"/>
              <w:rPr>
                <w:sz w:val="1"/>
                <w:szCs w:val="1"/>
                <w:color w:val="auto"/>
              </w:rPr>
            </w:pPr>
          </w:p>
        </w:tc>
      </w:tr>
      <w:tr>
        <w:trPr>
          <w:trHeight w:val="24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Ratio of nonperforming LHFI to total LHFI</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Ratio of nonperforming assets to total assets</w:t>
            </w:r>
          </w:p>
        </w:tc>
        <w:tc>
          <w:tcPr>
            <w:tcW w:w="200" w:type="dxa"/>
            <w:vAlign w:val="bottom"/>
          </w:tcPr>
          <w:p>
            <w:pPr>
              <w:spacing w:after="0"/>
              <w:rPr>
                <w:sz w:val="20"/>
                <w:szCs w:val="20"/>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 xml:space="preserve">As explained in detail in </w:t>
      </w:r>
      <w:r>
        <w:rPr>
          <w:rFonts w:ascii="Times New Roman" w:cs="Times New Roman" w:eastAsia="Times New Roman" w:hAnsi="Times New Roman"/>
          <w:sz w:val="18"/>
          <w:szCs w:val="18"/>
          <w:i w:val="1"/>
          <w:iCs w:val="1"/>
          <w:color w:val="auto"/>
        </w:rPr>
        <w:t>Part I, Note 11 — Commitments and Contingencies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xml:space="preserve"> and as discussed in previous filings, our classified and nonperforming LHFI were negatively impacted beginning in the second quarter of 2024 as a result of certain questioned activity involving a former banker in our East Texas market. During the quarter ended September 30, 2026, the Company fully released the remaining contingency reserve in connection with a settlement in August 2026 of certain litigation involving the questioned banker activity.</w:t>
      </w:r>
    </w:p>
    <w:p>
      <w:pPr>
        <w:spacing w:after="0" w:line="1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Nonperforming LHFI decreased $8.7 million at September 30, 2026, compared to December 31, 2025, and nonperforming LHFI to LHFI decreased to 0.90% compared to 1.06%. The decrease in nonperforming LHFI was driven by lower nonperforming LHFI balances across multiple loan sectors. Additionally, the decrease was impacted by a $2.0 million decrease in nonperforming LHFI related to the questioned activity discussed above. Please see </w:t>
      </w:r>
      <w:r>
        <w:rPr>
          <w:rFonts w:ascii="Times New Roman" w:cs="Times New Roman" w:eastAsia="Times New Roman" w:hAnsi="Times New Roman"/>
          <w:sz w:val="18"/>
          <w:szCs w:val="18"/>
          <w:i w:val="1"/>
          <w:iCs w:val="1"/>
          <w:color w:val="auto"/>
        </w:rPr>
        <w:t>Note 4 — Loans</w:t>
      </w:r>
      <w:r>
        <w:rPr>
          <w:rFonts w:ascii="Times New Roman" w:cs="Times New Roman" w:eastAsia="Times New Roman" w:hAnsi="Times New Roman"/>
          <w:sz w:val="18"/>
          <w:szCs w:val="18"/>
          <w:color w:val="auto"/>
        </w:rPr>
        <w:t xml:space="preserve"> to our consolidated financial statements contained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report for more information on nonperforming loans.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Problem Loans</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a credit risk standpoint, we classify loans using risk grades which fall into one of five categories: pass, special mention, substandard, doubtful or loss. The classifications of loans reflect a judgment about the risks of default and loss associated with the loan. We review the ratings on loans and adjust them to reflect the degree of risk and loss that is felt to be inherent or expected in each loan. The methodology is structured, so that reserve allocations are increased in accordance with deterioration in credit quality (and a corresponding increase in risk and loss) or decreased in accordance with improvement in credit quality (and a corresponding decrease in risk and loss). Loans rated special mention reflect borrowers who exhibit credit weaknesses or downward trends deserving close attention. If left uncorrected, these potential weaknesses may result in deterioration of the repayment prospects for the asset or in the Bank’s credit position at some future date. While potentially weak, no loss of principal or interest is envisioned, and these borrowers currently do not pose sufficient risk to warrant adverse classification. Loans rated substandard are those borrowers with deteriorating trends and well-defined weaknesses that jeopardize the orderly liquidation of debt. A substandard loan is inadequately protected by the current sound worth and paying capacity of the obligor or by the collateral pledged, if any, and where normal repayment from the borrower might be in jeopardy.</w:t>
      </w:r>
    </w:p>
    <w:p>
      <w:pPr>
        <w:spacing w:after="0" w:line="140"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 xml:space="preserve">Loans rated as doubtful have the weaknesses of substandard assets with the additional characteristic that the weaknesses make collection or liquidation in full questionable, and there is a high probability of loss based on currently existing facts, conditions and values. Loans classified as loss are charged-off, and we have no expectation of the recovery of any payments with respect to loans rated as loss. Information regarding the internal risk ratings of our loans at September 30, 2026, is included in </w:t>
      </w:r>
      <w:r>
        <w:rPr>
          <w:rFonts w:ascii="Times New Roman" w:cs="Times New Roman" w:eastAsia="Times New Roman" w:hAnsi="Times New Roman"/>
          <w:sz w:val="17"/>
          <w:szCs w:val="17"/>
          <w:i w:val="1"/>
          <w:iCs w:val="1"/>
          <w:color w:val="auto"/>
        </w:rPr>
        <w:t>Note 4 — Loans</w:t>
      </w:r>
      <w:r>
        <w:rPr>
          <w:rFonts w:ascii="Times New Roman" w:cs="Times New Roman" w:eastAsia="Times New Roman" w:hAnsi="Times New Roman"/>
          <w:sz w:val="17"/>
          <w:szCs w:val="17"/>
          <w:color w:val="auto"/>
        </w:rPr>
        <w:t xml:space="preserve"> to our consolidated financial statements contained in </w:t>
      </w:r>
      <w:r>
        <w:rPr>
          <w:rFonts w:ascii="Times New Roman" w:cs="Times New Roman" w:eastAsia="Times New Roman" w:hAnsi="Times New Roman"/>
          <w:sz w:val="17"/>
          <w:szCs w:val="17"/>
          <w:i w:val="1"/>
          <w:iCs w:val="1"/>
          <w:color w:val="auto"/>
        </w:rPr>
        <w:t>Part I, Item 1</w:t>
      </w:r>
      <w:r>
        <w:rPr>
          <w:rFonts w:ascii="Times New Roman" w:cs="Times New Roman" w:eastAsia="Times New Roman" w:hAnsi="Times New Roman"/>
          <w:sz w:val="17"/>
          <w:szCs w:val="17"/>
          <w:color w:val="auto"/>
        </w:rPr>
        <w:t xml:space="preserve"> of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Credit Losses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ALCL represents the estimated losses for loans accounted for on an amortized cost basis. Expected losses are calculated using relevant information about past events, including historical experience, current conditions, and reasonable and supportable forecasts that affect the collectability of the reported amount. We evaluate LHFI on a pool basis with pools of loans characterized by loan type, collateral, industry, internal credit risk rating and FICO score. We apply a probability of default, loss given default loss methodology, to the loan pools at September 30, 2026. Historical loss rates for each pool are calculated based on charge-off and recovery data beginning with the second quarter of 2012. These loss rates are adjusted for the effects of certain economic variables forecast over a one-year period, particularly for differences between current period conditions and the conditions existing during the historical loss period. Subsequent to the forecast effects, historical loss rates are used to estimate losses over the estimated remaining lives of the loans. The estimated remaining lives consist of the contractual lives, adjusted for estimated prepayments. Loans that exhibit characteristics different from their pool characteristics are evaluated on an individual basis. Certain of these loans are considered to be collateral dependent, with the borrower experiencing financial difficulty. For these loans, the fair value of collateral practical expedient is elected whereby the allowance is calculated as the amount by which the amortized cost exceeds the fair value of collateral, less costs to sell (if applicable). Those individual loans that are not collateral dependent are evaluated based on a discounted cash flow methodology.</w:t>
      </w:r>
    </w:p>
    <w:p>
      <w:pPr>
        <w:spacing w:after="0" w:line="13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amount of the ALCL is affected by loan charge-offs, which decrease the allowance, recoveries on loans previously charged off, which increase the allowance, as well as the provision for loan credit losses charged to income, which increases the allowance. In determining the provision for loan credit losses, management monitors fluctuations in the allowance resulting from actual charge-offs and recoveries and periodically reviews the size and composition of the loan portfolio in light of current and forecasted economic conditions. If actual losses exceed the amount of the ALCL, it would materially and adversely affect our earnings.</w:t>
      </w:r>
    </w:p>
    <w:p>
      <w:pPr>
        <w:spacing w:after="0" w:line="1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a general rule, when it becomes evident that the full principal and accrued interest of a loan may not be collected, or at 90 days past due, we will reflect that loan as nonperforming. It will remain nonperforming until it performs in a manner that it is reasonable to expect that we will collect principal and accrued interest in full. When the amount or likelihood of a loss on a loan has been confirmed, a charge-off will be taken in the period it is determined.</w:t>
      </w:r>
    </w:p>
    <w:p>
      <w:pPr>
        <w:spacing w:after="0" w:line="12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establish general allocations for each major loan category and credit quality. The general allocation is based, in part, on historical charge-off experience and loss given default methodology, derived from our internal risk rating process. Other adjustments may be made to the allowance for pools of loans after an assessment of internal or external influences on credit quality that are not fully reflected in the historical loss or risk rating data. We give consideration to trends, changes in loan mix, delinquencies, prior losses, reasonable and supportable forecasts and other related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review of our loan portfolio, we consider risk elements attributable to particular loan types or categories in assessing the quality of individual loans. Some of the risk elements we consider include:</w:t>
      </w:r>
    </w:p>
    <w:p>
      <w:pPr>
        <w:spacing w:after="0" w:line="108" w:lineRule="exact"/>
        <w:rPr>
          <w:sz w:val="20"/>
          <w:szCs w:val="20"/>
          <w:color w:val="auto"/>
        </w:rPr>
      </w:pPr>
    </w:p>
    <w:p>
      <w:pPr>
        <w:ind w:left="980" w:right="16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real estate loans, the debt service coverage ratio, operating results of the owner in the case of owner-occupied properties, the loan to value ratio, the age and condition of the collateral and the volatility of income, property value and future operating results typical of properties of that type;</w:t>
      </w:r>
    </w:p>
    <w:p>
      <w:pPr>
        <w:spacing w:after="0" w:line="121"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construction, land and land development loans, the perceived feasibility of the project, including the ability to sell developed lots or improvements constructed for resale or the ability to lease property constructed for lease, the quality and nature of contracts for presale or prelease, if any, experience and ability of the developer and loan to value ratio;</w:t>
      </w:r>
    </w:p>
    <w:p>
      <w:pPr>
        <w:spacing w:after="0" w:line="12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mortgage loans, the borrower’s ability to repay the loan, including a consideration of the debt to income ratio and employment and income stability, the loan-to-value ratio, and the age, condition and marketability of the collateral;</w:t>
      </w:r>
    </w:p>
    <w:p>
      <w:pPr>
        <w:spacing w:after="0" w:line="107" w:lineRule="exact"/>
        <w:rPr>
          <w:rFonts w:ascii="Times New Roman" w:cs="Times New Roman" w:eastAsia="Times New Roman" w:hAnsi="Times New Roman"/>
          <w:sz w:val="18"/>
          <w:szCs w:val="18"/>
          <w:color w:val="auto"/>
        </w:rPr>
      </w:pPr>
    </w:p>
    <w:p>
      <w:pPr>
        <w:ind w:left="980" w:right="200" w:hanging="324"/>
        <w:spacing w:after="0" w:line="261"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and industrial loans, the debt service coverage ratio (income from the business in excess of operating expenses compared to loan repayment requirements), the operating results of the commercial, industrial or professional enterprise, the borrower’s business, professional and financial ability and expertise, the specific risks and volatility of income and operating results typical for businesses in that category and the value, nature and marketability of collateral; and</w:t>
      </w:r>
    </w:p>
    <w:p>
      <w:pPr>
        <w:spacing w:after="0" w:line="125"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mortgage warehouse loans, the borrower’s adherence to agency or investor underwriting guidelines, while the risk associated with the underlying consumer mortgage loan repayments, similar to other consumer loans, depends on the borrower’s financial stability and are more likely than commercial loans to be adversely affected by divorce, job loss, illness and other personal hardships.</w:t>
      </w:r>
    </w:p>
    <w:p>
      <w:pPr>
        <w:spacing w:after="0" w:line="118" w:lineRule="exact"/>
        <w:rPr>
          <w:sz w:val="20"/>
          <w:szCs w:val="20"/>
          <w:color w:val="auto"/>
        </w:rPr>
      </w:pPr>
    </w:p>
    <w:p>
      <w:pPr>
        <w:jc w:val="both"/>
        <w:ind w:right="220" w:firstLine="64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Acquisition Accounting and Acquired Loans</w:t>
      </w:r>
      <w:r>
        <w:rPr>
          <w:rFonts w:ascii="Times New Roman" w:cs="Times New Roman" w:eastAsia="Times New Roman" w:hAnsi="Times New Roman"/>
          <w:sz w:val="17"/>
          <w:szCs w:val="17"/>
          <w:color w:val="auto"/>
        </w:rPr>
        <w:t>. We account for our mergers/acquisitions under Financial Accounting Standards Board (“FASB”)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ASC Topic 805, Business Combinations</w:t>
      </w:r>
      <w:r>
        <w:rPr>
          <w:rFonts w:ascii="Times New Roman" w:cs="Times New Roman" w:eastAsia="Times New Roman" w:hAnsi="Times New Roman"/>
          <w:sz w:val="17"/>
          <w:szCs w:val="17"/>
          <w:color w:val="auto"/>
        </w:rPr>
        <w:t>, which requires the use of the acquisition method of accounting. All identifiable assets acquired, including 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are recorded at fair value. In accordance with ASC 326, we record a discount or premium, and also an allowance for credit losses on acquired loans. All purchased loans are recorded at fair value in accordance with the fair value methodology prescribed in FASB </w:t>
      </w:r>
      <w:r>
        <w:rPr>
          <w:rFonts w:ascii="Times New Roman" w:cs="Times New Roman" w:eastAsia="Times New Roman" w:hAnsi="Times New Roman"/>
          <w:sz w:val="17"/>
          <w:szCs w:val="17"/>
          <w:i w:val="1"/>
          <w:iCs w:val="1"/>
          <w:color w:val="auto"/>
        </w:rPr>
        <w:t>ASC Topic 820, Fair Value Measurements</w:t>
      </w:r>
      <w:r>
        <w:rPr>
          <w:rFonts w:ascii="Times New Roman" w:cs="Times New Roman" w:eastAsia="Times New Roman" w:hAnsi="Times New Roman"/>
          <w:sz w:val="17"/>
          <w:szCs w:val="17"/>
          <w:color w:val="auto"/>
        </w:rPr>
        <w:t>.</w:t>
      </w:r>
    </w:p>
    <w:p>
      <w:pPr>
        <w:ind w:right="160"/>
        <w:spacing w:after="0" w:line="260" w:lineRule="auto"/>
        <w:rPr>
          <w:sz w:val="20"/>
          <w:szCs w:val="20"/>
          <w:color w:val="auto"/>
        </w:rPr>
      </w:pPr>
      <w:r>
        <w:rPr>
          <w:rFonts w:ascii="Times New Roman" w:cs="Times New Roman" w:eastAsia="Times New Roman" w:hAnsi="Times New Roman"/>
          <w:sz w:val="18"/>
          <w:szCs w:val="18"/>
          <w:color w:val="auto"/>
        </w:rPr>
        <w:t>The fair value estimates associated with the loans include estimates related to expected prepayments and the amount and timing of undiscounted expected principal, interest and other cash flows.</w:t>
      </w:r>
    </w:p>
    <w:p>
      <w:pPr>
        <w:spacing w:after="0" w:line="1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Purchased loans that have experienced more than insignificant credit deterioration since origination are PCD loans. An ALCL is determined using the same methodology as other individually evaluated loans. The sum of the loan’s purchase price and allowance for credit losses becomes its initial amortized cost basis. The difference between the initial amortized cost basis and the par value of the loan is a non-credit discount or premium, which is amortized or accreted into interest income over the life of the loan. Subsequent changes to the ALCL are recorded through the provision for credit losses.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allowance for credit loss by loan category at the following dates: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5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4"/>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39"/>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Loans secured by real estate:</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415"/>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23"/>
              <w:spacing w:after="0" w:line="240" w:lineRule="exact"/>
              <w:rPr>
                <w:sz w:val="20"/>
                <w:szCs w:val="20"/>
                <w:color w:val="auto"/>
              </w:rPr>
            </w:pPr>
            <w:r>
              <w:rPr>
                <w:rFonts w:ascii="Times New Roman" w:cs="Times New Roman" w:eastAsia="Times New Roman" w:hAnsi="Times New Roman"/>
                <w:sz w:val="27"/>
                <w:szCs w:val="27"/>
                <w:b w:val="1"/>
                <w:bCs w:val="1"/>
                <w:color w:val="auto"/>
                <w:w w:val="87"/>
                <w:vertAlign w:val="subscript"/>
              </w:rPr>
              <w:t>%</w:t>
            </w:r>
            <w:r>
              <w:rPr>
                <w:rFonts w:ascii="Times New Roman" w:cs="Times New Roman" w:eastAsia="Times New Roman" w:hAnsi="Times New Roman"/>
                <w:sz w:val="10"/>
                <w:szCs w:val="10"/>
                <w:b w:val="1"/>
                <w:bCs w:val="1"/>
                <w:color w:val="auto"/>
                <w:w w:val="87"/>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435"/>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18,533</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18,176</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0" w:type="dxa"/>
            <w:vAlign w:val="bottom"/>
          </w:tcPr>
          <w:p>
            <w:pPr>
              <w:spacing w:after="0"/>
              <w:rPr>
                <w:sz w:val="1"/>
                <w:szCs w:val="1"/>
                <w:color w:val="auto"/>
              </w:rPr>
            </w:pPr>
          </w:p>
        </w:tc>
      </w:tr>
      <w:tr>
        <w:trPr>
          <w:trHeight w:val="227"/>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Construction/land/land development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7,230</w:t>
            </w:r>
          </w:p>
        </w:tc>
        <w:tc>
          <w:tcPr>
            <w:tcW w:w="142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7,741</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33"/>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9,906</w:t>
            </w:r>
          </w:p>
        </w:tc>
        <w:tc>
          <w:tcPr>
            <w:tcW w:w="142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26"/>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6,847</w:t>
            </w:r>
          </w:p>
        </w:tc>
        <w:tc>
          <w:tcPr>
            <w:tcW w:w="142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54,399</w:t>
            </w:r>
          </w:p>
        </w:tc>
        <w:tc>
          <w:tcPr>
            <w:tcW w:w="142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54,496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54,482</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26"/>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warehouse lines of credit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42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26"/>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98,378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96,259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342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line="218" w:lineRule="auto"/>
        <w:tabs>
          <w:tab w:leader="none" w:pos="32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ratio of each loan type to total LHFI.</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an analysis of the ALCL and other related data at the periods indicated.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ALCL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96,782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91,060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91,060</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loan credit losses</w:t>
            </w:r>
          </w:p>
        </w:tc>
        <w:tc>
          <w:tcPr>
            <w:tcW w:w="11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7,488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41,610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45,303</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1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2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6,812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39,740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43,691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23"/>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charge-offs</w:t>
            </w:r>
          </w:p>
        </w:tc>
        <w:tc>
          <w:tcPr>
            <w:tcW w:w="11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9,683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40,754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45,082</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Recoveries:</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1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Single-family residential real estate</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 residential real estate</w:t>
            </w:r>
          </w:p>
        </w:tc>
        <w:tc>
          <w:tcPr>
            <w:tcW w:w="116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5,392</w:t>
            </w:r>
          </w:p>
        </w:tc>
        <w:tc>
          <w:tcPr>
            <w:tcW w:w="0" w:type="dxa"/>
            <w:vAlign w:val="bottom"/>
          </w:tcPr>
          <w:p>
            <w:pPr>
              <w:spacing w:after="0"/>
              <w:rPr>
                <w:sz w:val="1"/>
                <w:szCs w:val="1"/>
                <w:color w:val="auto"/>
              </w:rPr>
            </w:pPr>
          </w:p>
        </w:tc>
      </w:tr>
      <w:tr>
        <w:trPr>
          <w:trHeight w:val="227"/>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recoveries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3,791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5,501</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charge-offs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5,892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36,411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39,581</w:t>
            </w:r>
          </w:p>
        </w:tc>
        <w:tc>
          <w:tcPr>
            <w:tcW w:w="0" w:type="dxa"/>
            <w:vAlign w:val="bottom"/>
          </w:tcPr>
          <w:p>
            <w:pPr>
              <w:spacing w:after="0"/>
              <w:rPr>
                <w:sz w:val="1"/>
                <w:szCs w:val="1"/>
                <w:color w:val="auto"/>
              </w:rPr>
            </w:pPr>
          </w:p>
        </w:tc>
      </w:tr>
      <w:tr>
        <w:trPr>
          <w:trHeight w:val="251"/>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98,378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96,259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96,782</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Ratio of ALCL to:</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Nonperforming LHFI</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135.77 %</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109.04 %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119.21 %</w:t>
            </w:r>
          </w:p>
        </w:tc>
        <w:tc>
          <w:tcPr>
            <w:tcW w:w="0" w:type="dxa"/>
            <w:vAlign w:val="bottom"/>
          </w:tcPr>
          <w:p>
            <w:pPr>
              <w:spacing w:after="0"/>
              <w:rPr>
                <w:sz w:val="1"/>
                <w:szCs w:val="1"/>
                <w:color w:val="auto"/>
              </w:rPr>
            </w:pPr>
          </w:p>
        </w:tc>
      </w:tr>
      <w:tr>
        <w:trPr>
          <w:trHeight w:val="226"/>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LHFI</w:t>
            </w:r>
          </w:p>
        </w:tc>
        <w:tc>
          <w:tcPr>
            <w:tcW w:w="11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 (annualized) as a percentage of:</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loan credit loss</w:t>
            </w:r>
          </w:p>
        </w:tc>
        <w:tc>
          <w:tcPr>
            <w:tcW w:w="11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78.69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87.37</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ALCL</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50.57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40.90</w:t>
            </w:r>
          </w:p>
        </w:tc>
        <w:tc>
          <w:tcPr>
            <w:tcW w:w="0" w:type="dxa"/>
            <w:vAlign w:val="bottom"/>
          </w:tcPr>
          <w:p>
            <w:pPr>
              <w:spacing w:after="0"/>
              <w:rPr>
                <w:sz w:val="1"/>
                <w:szCs w:val="1"/>
                <w:color w:val="auto"/>
              </w:rPr>
            </w:pPr>
          </w:p>
        </w:tc>
      </w:tr>
      <w:tr>
        <w:trPr>
          <w:trHeight w:val="224"/>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Average LHFI</w:t>
            </w:r>
          </w:p>
        </w:tc>
        <w:tc>
          <w:tcPr>
            <w:tcW w:w="116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ALCL to nonperforming LHFI increased to 135.77% at September 30, 2026, compared to 119.21% at December 31, 2025, primarily driven by a decrease of $8.7 million in the Company’s nonperforming LHFI as explained in the preceding </w:t>
      </w:r>
      <w:r>
        <w:rPr>
          <w:rFonts w:ascii="Times New Roman" w:cs="Times New Roman" w:eastAsia="Times New Roman" w:hAnsi="Times New Roman"/>
          <w:sz w:val="18"/>
          <w:szCs w:val="18"/>
          <w:i w:val="1"/>
          <w:iCs w:val="1"/>
          <w:color w:val="auto"/>
        </w:rPr>
        <w:t>Nonperforming Assets</w:t>
      </w:r>
      <w:r>
        <w:rPr>
          <w:rFonts w:ascii="Times New Roman" w:cs="Times New Roman" w:eastAsia="Times New Roman" w:hAnsi="Times New Roman"/>
          <w:sz w:val="18"/>
          <w:szCs w:val="18"/>
          <w:color w:val="auto"/>
        </w:rPr>
        <w:t xml:space="preserve"> section, during the nine months ended September 30,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w:t>
      </w:r>
    </w:p>
    <w:p>
      <w:pPr>
        <w:spacing w:after="0" w:line="17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securities portfolio totaled $1.15 billion at September 30, 2026, representing an increase of $12.0 million, or 1.1% from $1.13 billion at December 31, 2025. The increase reflects the net effect of new purchases, sales, calls, maturities, principal paydowns, and changes in fair value during the nine months ended September 30, 2026.</w:t>
      </w:r>
    </w:p>
    <w:p>
      <w:pPr>
        <w:spacing w:after="0" w:line="12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available for sale portfolio totaled $1.12 billion at September 30, 2026, and represented 97.5% of our total security portfolio and was comprised of 39.2% mortgage-backed, 24.9% municipal, 30.3% collateralized mortgage obligations, 4.5% corporate and 1.1% treasury/agency securities. Our available for sale portfolio totaled $1.12 billion at December 31, 2025, and represented 98.5% of our total security portfolio and was comprised of 42.0% mortgage-backed, 26.4% municipal, 26.3% collateralized mortgage obligations, 5.0% corporate and 0.3% treasury/agency securities.</w:t>
      </w:r>
    </w:p>
    <w:p>
      <w:pPr>
        <w:spacing w:after="0" w:line="12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All of our mortgage-backed securities and collateralized mortgage obligations are issued and/or guaranteed by U.S. government agencies or U.S. government-sponsored entities. We do not hold any Fannie Mae or Freddie Mac preferred stock, collateralized debt obligations, collateralized loan obligations, structured investment vehicles, private label collateralized mortgage obligations, subprime, Alt-A, or second lien elements in our investment portfolio. As of September 30, 2026, our investment portfolio did not contain any securities that are directly backed by subprime or Alt-A mortgages.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securities portfolio had a weighted average effective duration of 4.65 years at September 30, 2026, compared to 4.15 years at December 31, 2025. For additional information regarding our securities portfolio, please see </w:t>
      </w:r>
      <w:r>
        <w:rPr>
          <w:rFonts w:ascii="Times New Roman" w:cs="Times New Roman" w:eastAsia="Times New Roman" w:hAnsi="Times New Roman"/>
          <w:sz w:val="18"/>
          <w:szCs w:val="18"/>
          <w:i w:val="1"/>
          <w:iCs w:val="1"/>
          <w:color w:val="auto"/>
        </w:rPr>
        <w:t>Note 3 — Securities</w:t>
      </w:r>
      <w:r>
        <w:rPr>
          <w:rFonts w:ascii="Times New Roman" w:cs="Times New Roman" w:eastAsia="Times New Roman" w:hAnsi="Times New Roman"/>
          <w:sz w:val="18"/>
          <w:szCs w:val="18"/>
          <w:color w:val="auto"/>
        </w:rPr>
        <w:t xml:space="preserve"> in the condensed notes to our consolidated financial statements contained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Deposits are the primary funding source used to fund our loans, investments and operating needs. We offer a variety of products designed to attract and retain both consumer and commercial deposit customers. These products consist of noninterest and interest-bearing checking accounts, savings deposits, money market accounts and time deposits. Deposits are primarily gathered from individuals, partnerships and corporations in our market areas. We also obtain deposits from local municipalities and state agencies.</w:t>
      </w:r>
    </w:p>
    <w:p>
      <w:pPr>
        <w:spacing w:after="0" w:line="12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Total deposits increased $365.9 million, or 4.4%, at September 30, 2026, compared to December 31, 2025, with increases of $334.1 million and $196.6 million in money market and noninterest-bearing demand deposits, respectively, partially offset by decreases of $104.5 million and $59.8 million in interest-bearing demand and time deposits, respectively. The increase in deposits from December 31, 2025, was driven in part by the repurchase on January 2, 2026, of $215.0 million in money market deposits that were sold on December 31, 2025. The increase in money market deposits at September 30, 2026, excluding the $215.0 million repurchase, was $119.1 million, or 3.4%, compared to December 31, 2025.</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deposit mix at the dates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2,176,440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1,979,875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196,565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r>
      <w:tr>
        <w:trPr>
          <w:trHeight w:val="22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3,615,817</w:t>
            </w:r>
          </w:p>
        </w:tc>
        <w:tc>
          <w:tcPr>
            <w:tcW w:w="120" w:type="dxa"/>
            <w:vAlign w:val="bottom"/>
          </w:tcPr>
          <w:p>
            <w:pPr>
              <w:spacing w:after="0"/>
              <w:rPr>
                <w:sz w:val="19"/>
                <w:szCs w:val="19"/>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3,281,708</w:t>
            </w:r>
          </w:p>
        </w:tc>
        <w:tc>
          <w:tcPr>
            <w:tcW w:w="100" w:type="dxa"/>
            <w:vAlign w:val="bottom"/>
          </w:tcPr>
          <w:p>
            <w:pPr>
              <w:spacing w:after="0"/>
              <w:rPr>
                <w:sz w:val="19"/>
                <w:szCs w:val="19"/>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334,109</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10.2</w:t>
            </w:r>
          </w:p>
        </w:tc>
      </w:tr>
      <w:tr>
        <w:trPr>
          <w:trHeight w:val="23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demand</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1,813,185</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1,917,658</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(104,473)</w:t>
            </w:r>
          </w:p>
        </w:tc>
        <w:tc>
          <w:tcPr>
            <w:tcW w:w="15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r>
      <w:tr>
        <w:trPr>
          <w:trHeight w:val="22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769,702</w:t>
            </w:r>
          </w:p>
        </w:tc>
        <w:tc>
          <w:tcPr>
            <w:tcW w:w="120" w:type="dxa"/>
            <w:vAlign w:val="bottom"/>
          </w:tcPr>
          <w:p>
            <w:pPr>
              <w:spacing w:after="0"/>
              <w:rPr>
                <w:sz w:val="19"/>
                <w:szCs w:val="19"/>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829,452</w:t>
            </w:r>
          </w:p>
        </w:tc>
        <w:tc>
          <w:tcPr>
            <w:tcW w:w="100" w:type="dxa"/>
            <w:vAlign w:val="bottom"/>
          </w:tcPr>
          <w:p>
            <w:pPr>
              <w:spacing w:after="0"/>
              <w:rPr>
                <w:sz w:val="19"/>
                <w:szCs w:val="19"/>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(59,750)</w:t>
            </w:r>
          </w:p>
        </w:tc>
        <w:tc>
          <w:tcPr>
            <w:tcW w:w="1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(7.2)</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Savings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298,030</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298,554</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5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r>
      <w:tr>
        <w:trPr>
          <w:trHeight w:val="22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8,673,174</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8,307,247</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365,927</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manage our interest expense on deposits through specific deposit product pricing that is based on competitive pricing, economic conditions and current and anticipated funding needs. We may use interest rates as a mechanism to attract or deter additional deposits based on our anticipated funding needs and liquidity position. We also consider potential interest rate risk caused by extended maturities of time deposits when setting the interest rates in periods of future economic uncertainty.</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classification of our average deposits, and the average rate paid on each deposit category for the periods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4"/>
                <w:szCs w:val="14"/>
                <w:color w:val="auto"/>
              </w:rPr>
            </w:pPr>
          </w:p>
        </w:tc>
        <w:tc>
          <w:tcPr>
            <w:tcW w:w="940" w:type="dxa"/>
            <w:vAlign w:val="bottom"/>
          </w:tcPr>
          <w:p>
            <w:pPr>
              <w:jc w:val="right"/>
              <w:ind w:right="218"/>
              <w:spacing w:after="0" w:line="172"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4"/>
                <w:szCs w:val="14"/>
                <w:color w:val="auto"/>
              </w:rPr>
            </w:pPr>
          </w:p>
        </w:tc>
        <w:tc>
          <w:tcPr>
            <w:tcW w:w="116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6"/>
                <w:szCs w:val="16"/>
                <w:b w:val="1"/>
                <w:bCs w:val="1"/>
                <w:color w:val="auto"/>
              </w:rPr>
              <w:t>Average Rate</w:t>
            </w:r>
          </w:p>
        </w:tc>
        <w:tc>
          <w:tcPr>
            <w:tcW w:w="200" w:type="dxa"/>
            <w:vAlign w:val="bottom"/>
          </w:tcPr>
          <w:p>
            <w:pPr>
              <w:spacing w:after="0"/>
              <w:rPr>
                <w:sz w:val="14"/>
                <w:szCs w:val="14"/>
                <w:color w:val="auto"/>
              </w:rPr>
            </w:pPr>
          </w:p>
        </w:tc>
        <w:tc>
          <w:tcPr>
            <w:tcW w:w="104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4"/>
                <w:szCs w:val="14"/>
                <w:color w:val="auto"/>
              </w:rPr>
            </w:pPr>
          </w:p>
        </w:tc>
        <w:tc>
          <w:tcPr>
            <w:tcW w:w="960" w:type="dxa"/>
            <w:vAlign w:val="bottom"/>
          </w:tcPr>
          <w:p>
            <w:pPr>
              <w:jc w:val="right"/>
              <w:ind w:right="238"/>
              <w:spacing w:after="0" w:line="172"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4"/>
                <w:szCs w:val="14"/>
                <w:color w:val="auto"/>
              </w:rPr>
            </w:pPr>
          </w:p>
        </w:tc>
        <w:tc>
          <w:tcPr>
            <w:tcW w:w="10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Paid</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Paid</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demand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1,923,858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41,457</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2.87 %</w:t>
            </w:r>
          </w:p>
        </w:tc>
        <w:tc>
          <w:tcPr>
            <w:tcW w:w="0" w:type="dxa"/>
            <w:vAlign w:val="bottom"/>
          </w:tcPr>
          <w:p>
            <w:pPr>
              <w:spacing w:after="0"/>
              <w:rPr>
                <w:sz w:val="1"/>
                <w:szCs w:val="1"/>
                <w:color w:val="auto"/>
              </w:rPr>
            </w:pP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75,701</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84,461</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17,639</w:t>
            </w: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22,019</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Brokered deposits</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6,525,094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129,811</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6,372,705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152,957</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4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2,073,612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1,873,494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average deposits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8,598,706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129,811</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8,246,199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152,957</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340" w:right="420" w:hanging="332"/>
        <w:spacing w:after="0" w:line="230" w:lineRule="auto"/>
        <w:tabs>
          <w:tab w:leader="none" w:pos="327"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brokered deposits include average brokered time deposits and average brokered interest-bearing demand of $33.3 million and $1,000, respectively, for the nine months ended September 30, 2025.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average deposit balances were $8.60 billion for the nine months ended September 30, 2026, an increase of $352.5 million, or 4.3%,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$8.25 billion for the nine months ended September 30, 2025. The average rate paid on our interest-bearing deposits for the nine months ended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2026, was 2.66%, compared to 3.21% for the nine months ended September 30, 2025.</w:t>
      </w:r>
    </w:p>
    <w:p>
      <w:pPr>
        <w:spacing w:after="0" w:line="153" w:lineRule="exact"/>
        <w:rPr>
          <w:sz w:val="20"/>
          <w:szCs w:val="20"/>
          <w:color w:val="auto"/>
        </w:rPr>
      </w:pPr>
    </w:p>
    <w:p>
      <w:pPr>
        <w:jc w:val="both"/>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Federal Reserve Board sets various benchmark rates, including the federal funds rate, and thereby influences the general market rates of interest, including loan and deposit rates offered by financial institutions. The Federal Reserve Board reduced the federal funds target rate range three times, for a total of 75 basis points, during the second half of 2025, to a range of 3.50% to 3.75%. On September 16, 2026, the Federal Reserve Board raised the federal funds target rate range by 25 basis points, to a range of 3.75% to 4.00%.</w:t>
      </w:r>
    </w:p>
    <w:p>
      <w:pPr>
        <w:spacing w:after="0" w:line="12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Average noninterest-bearing deposits were $2.07 billion for the nine months ended September 30, 2026, an increase of $200.1 million, or 10.7%, from $1.87 billion for the nine months ended September 30, 2025, and represented 24.1% and 22.7% of average total deposits for the nine months ended September 30, 2026 and 2025, respectively.</w:t>
      </w:r>
    </w:p>
    <w:p>
      <w:pPr>
        <w:spacing w:after="0" w:line="12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amount of deposits in excess of the FDIC insurance limit at September 30, 2026, and December 31, 2025 was $4.03 billion and $3.93 billion, respectively, including $671.7 million and $860.0 million in public fund deposits collateralized by pledged assets,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Borrowed funds are summarized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FHLB advances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5,913</w:t>
            </w:r>
          </w:p>
        </w:tc>
      </w:tr>
      <w:tr>
        <w:trPr>
          <w:trHeight w:val="22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Overnight repurchase agreements with depositors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13,137</w:t>
            </w:r>
          </w:p>
        </w:tc>
      </w:tr>
      <w:tr>
        <w:trPr>
          <w:trHeight w:val="251"/>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FHLB advances and other borrowings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indebtedness,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16,544</w:t>
            </w: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Holding Company Line of Credit</w:t>
      </w:r>
    </w:p>
    <w:p>
      <w:pPr>
        <w:spacing w:after="0" w:line="17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During the quarter ended June 30, 2026, the Company entered into a Loan Agreement (the “Loan Agreement”), along with certain ancillary instruments, with a correspondent financial institution (“Lender”) pursuant to which the Company has the ability to borrow up to $30.0 million under a revolving credit loan. Advances under the Loan Agreement bear interest at a variable rate equal to the then-applicable Prime Rate (as defined in the Loan Agreement) minus 1.00%, subject to a 4.00% floor. The loan matures on June 30, 2027, and is secured by a pledge of the common stock of Origin Bank. The Company can use the proceeds of any advance for general corporate purposes, including, but not limited to, repurchase of stock, operating expenses, strategic investments and acquisitions. The Company had no balance outstanding on this revolving credit loan under the Loan Agreement at September 30,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Management oversees our liquidity position to ensure adequate cash and liquid assets are available to support our operations and satisfy current and future financial obligations, including demand for loan funding and deposit withdrawals. Management continually monitors, forecasts and tests our liquidity and non-core dependency ratios to ensure compliance with targets established by our Asset Liability Committee and approved by our board of directors.</w:t>
      </w:r>
    </w:p>
    <w:p>
      <w:pPr>
        <w:spacing w:after="0" w:line="12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Management measures our liquidity position by giving consideration to both on-balance sheet and off-balance sheet sources of, and demands for, funds on a daily and weekly basis.</w:t>
      </w:r>
    </w:p>
    <w:p>
      <w:pPr>
        <w:spacing w:after="0" w:line="10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which is a separate legal entity apart from the Bank, must provide for its own liquidity, including payment of any dividends that may be declared for its common stockholders and interest and principal on any outstanding debt or trust preferred securities incurred by the Company. The cash held at the holding company is available for general corporate purposes described above, as well as providing capital support to the Bank.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the liquidity measures for the Company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9"/>
                <w:szCs w:val="19"/>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19"/>
                <w:szCs w:val="19"/>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 cash balances at the holding company (unconsolidated)</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14,108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32,731</w:t>
            </w:r>
          </w:p>
        </w:tc>
      </w:tr>
      <w:tr>
        <w:trPr>
          <w:trHeight w:val="237"/>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liquid securities as a percentage of total consolidated assets</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r>
    </w:tbl>
    <w:p>
      <w:pPr>
        <w:spacing w:after="0" w:line="242"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There are regulatory restrictions on the ability of the Bank to pay dividends under federal and state laws, regulations and policies; please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10 — Capital and Regulatory Matters </w:t>
      </w:r>
      <w:r>
        <w:rPr>
          <w:rFonts w:ascii="Times New Roman" w:cs="Times New Roman" w:eastAsia="Times New Roman" w:hAnsi="Times New Roman"/>
          <w:sz w:val="18"/>
          <w:szCs w:val="18"/>
          <w:color w:val="auto"/>
        </w:rPr>
        <w:t>in the condensed notes to our consolidated financial statements for more information on the availability of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Sources</w:t>
      </w:r>
    </w:p>
    <w:p>
      <w:pPr>
        <w:spacing w:after="0" w:line="17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cash generated from operations, we utilize a number of funding sources to manage our liquidity, including core deposits, investment securities, cash and cash equivalents, loan repayments, federal funds lines of credit available from other financial institutions, as well as advances from the FHLB. We also have access to the Federal Reserve discount window as a source of short-term funding.</w:t>
      </w:r>
    </w:p>
    <w:p>
      <w:pPr>
        <w:spacing w:after="0" w:line="122"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Core deposits, which are total deposits excluding time deposits greater than $250,000, brokered, and Certificate of Deposit Account Registry Service deposits, are a major source of funds used to meet our cash flow needs. Maintaining the ability to acquire these funds as needed in a variety of markets is the key to assuring our liquidity.</w:t>
      </w:r>
    </w:p>
    <w:p>
      <w:pPr>
        <w:spacing w:after="0" w:line="12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investment portfolio is another source for meeting our liquidity needs. Monthly payments on mortgage-backed securities are used for short-term liquidity, and our investments are generally traded in active markets that offer a readily available source of cash liquidity through sales, if needed. Securities in our investment portfolio are also used to secure certain deposit types, such as deposits from state and local municipalities, and can be pledged as collateral for other borrowing sources.</w:t>
      </w:r>
    </w:p>
    <w:p>
      <w:pPr>
        <w:spacing w:after="0" w:line="12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Other sources available for meeting liquidity needs include long- and short-term advances from the FHLB, a holding company revolving credit loan and unsecured federal funds lines of credit. Long-term funds obtained from the FHLB are primarily used as an alternative source to fund long-term growth of the balance sheet by supporting growth in loans and other long-term interest-earning assets. We typically rely on such funding when the cost of such borrowings compares favorably to the rates that we would be required to pay for other funding sources, including certain deposits.</w:t>
      </w:r>
    </w:p>
    <w:p>
      <w:pPr>
        <w:spacing w:after="0" w:line="12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also had unsecured federal funds lines of credit available to us, with no amounts outstanding at either September 30, 2026, or December 31, 2025. These lines of credit primarily provide short-term liquidity and, in order to ensure the availability of these funds, we test these lines of credit at least annually. Interest is charged at the prevailing market rate on federal funds purchased and FHLB advances.</w:t>
      </w:r>
    </w:p>
    <w:p>
      <w:pPr>
        <w:spacing w:after="0" w:line="122"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We were eligible to borrow an additional $2.45 billion and $2.39 billion from the FHLB at September 30, 2026 and December 31, 2025, respectively.</w:t>
      </w:r>
    </w:p>
    <w:p>
      <w:pPr>
        <w:spacing w:after="0" w:line="10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Additionally, at September 30, 2026, we had the ability to borrow $1.26 billion from the discount window at the FRBD, with $1.56 billion in commercial and industrial loans pledged as collateral. There were no borrowings against this line at September 30, 2026, or December 31, 2025.</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the quarter ended June 30, 2026, we entered into a $30.0 million revolving credit loan with no amounts outstanding at September 30, 2026. For more information on the holding company line of credit please see the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section immediately above this </w:t>
      </w:r>
      <w:r>
        <w:rPr>
          <w:rFonts w:ascii="Times New Roman" w:cs="Times New Roman" w:eastAsia="Times New Roman" w:hAnsi="Times New Roman"/>
          <w:sz w:val="18"/>
          <w:szCs w:val="18"/>
          <w:i w:val="1"/>
          <w:iCs w:val="1"/>
          <w:color w:val="auto"/>
        </w:rPr>
        <w:t>Liquidity and Capital Resource</w:t>
      </w:r>
      <w:r>
        <w:rPr>
          <w:rFonts w:ascii="Times New Roman" w:cs="Times New Roman" w:eastAsia="Times New Roman" w:hAnsi="Times New Roman"/>
          <w:sz w:val="18"/>
          <w:szCs w:val="18"/>
          <w:color w:val="auto"/>
        </w:rPr>
        <w:t xml:space="preserve"> section.</w:t>
      </w:r>
    </w:p>
    <w:p>
      <w:pPr>
        <w:spacing w:after="0" w:line="12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the normal course of business as a financial services provider, we enter into financial instruments, such as certain contractual obligations and commitments to extend credit and letters of credit, to meet the financing needs of our customers. These commitments involve elements of credit risk, interest rate risk and liquidity risk. Some instruments may not be reflected in our consolidated financial statements until they are funded, and a significant portion of commitments to extend credit may expire without being drawn, although they expose us to varying degrees of credit risk and interest rate risk in much the same way as funded loans. Please see </w:t>
      </w:r>
      <w:r>
        <w:rPr>
          <w:rFonts w:ascii="Times New Roman" w:cs="Times New Roman" w:eastAsia="Times New Roman" w:hAnsi="Times New Roman"/>
          <w:sz w:val="18"/>
          <w:szCs w:val="18"/>
          <w:i w:val="1"/>
          <w:iCs w:val="1"/>
          <w:color w:val="auto"/>
        </w:rPr>
        <w:t>Note 11 — Commitments and Contingencies</w:t>
      </w:r>
      <w:r>
        <w:rPr>
          <w:rFonts w:ascii="Times New Roman" w:cs="Times New Roman" w:eastAsia="Times New Roman" w:hAnsi="Times New Roman"/>
          <w:sz w:val="18"/>
          <w:szCs w:val="18"/>
          <w:color w:val="auto"/>
        </w:rPr>
        <w:t xml:space="preserve"> in the condensed notes to our consolidated financial statements for more information on our off-balance sheet commitments.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75"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Shareholders’ equity provides a source of permanent funding, allows for future growth and provides a degree of protection to withstand unforeseen adverse developments. Changes in shareholders’ equity are reflected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r>
      <w:tr>
        <w:trPr>
          <w:trHeight w:val="22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2026</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1,246,685</w:t>
            </w:r>
          </w:p>
        </w:tc>
      </w:tr>
      <w:tr>
        <w:trPr>
          <w:trHeight w:val="22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99,317</w:t>
            </w:r>
          </w:p>
        </w:tc>
      </w:tr>
      <w:tr>
        <w:trPr>
          <w:trHeight w:val="23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20" w:type="dxa"/>
            <w:vAlign w:val="bottom"/>
            <w:shd w:val="clear" w:color="auto" w:fill="CCEEFF"/>
          </w:tcPr>
          <w:p>
            <w:pPr>
              <w:spacing w:after="0"/>
              <w:rPr>
                <w:sz w:val="20"/>
                <w:szCs w:val="20"/>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(42,269)</w:t>
            </w:r>
          </w:p>
        </w:tc>
      </w:tr>
      <w:tr>
        <w:trPr>
          <w:trHeight w:val="227"/>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 - common stock ($0.65 per share)</w:t>
            </w:r>
          </w:p>
        </w:tc>
        <w:tc>
          <w:tcPr>
            <w:tcW w:w="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(20,396)</w:t>
            </w:r>
          </w:p>
        </w:tc>
      </w:tr>
      <w:tr>
        <w:trPr>
          <w:trHeight w:val="23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220" w:type="dxa"/>
            <w:vAlign w:val="bottom"/>
            <w:shd w:val="clear" w:color="auto" w:fill="CCEEFF"/>
          </w:tcPr>
          <w:p>
            <w:pPr>
              <w:spacing w:after="0"/>
              <w:rPr>
                <w:sz w:val="20"/>
                <w:szCs w:val="20"/>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12,089</w:t>
            </w:r>
          </w:p>
        </w:tc>
      </w:tr>
      <w:tr>
        <w:trPr>
          <w:trHeight w:val="227"/>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(31,739)</w:t>
            </w:r>
          </w:p>
        </w:tc>
      </w:tr>
      <w:tr>
        <w:trPr>
          <w:trHeight w:val="251"/>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1,263,687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6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Part II, Item 2. “Unregistered Sales of Equity Securities, Use of Proceeds and Issuer Purchases of Equity Securities”</w:t>
      </w:r>
      <w:r>
        <w:rPr>
          <w:rFonts w:ascii="Times New Roman" w:cs="Times New Roman" w:eastAsia="Times New Roman" w:hAnsi="Times New Roman"/>
          <w:sz w:val="18"/>
          <w:szCs w:val="18"/>
          <w:color w:val="auto"/>
        </w:rPr>
        <w:t xml:space="preserve"> below for information on the Company’s share repurchase program.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 Requirements</w:t>
      </w:r>
    </w:p>
    <w:p>
      <w:pPr>
        <w:spacing w:after="0" w:line="17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Together with the Bank, we are subject to various regulatory capital requirements administered by federal banking agencies. Failure to meet minimum capital requirements may result in certain actions by regulators that, if enforced, could have a direct material effect on our financial statements. At September 30, 2026, and December 31, 2025, we and the Bank were in compliance with all applicable regulatory capital requirements, and the Bank was classified as “well capitalized” for purposes of the prompt corrective action regulations of the Federal Reserve. As we deploy capital and continue to grow operations, regulatory capital levels may decrease depending on the level of earnings. However, we expect to monitor and control growth in order to remain “well capitalized” under applicable regulatory guidelines and in compliance with all applicable regulatory capital standards. While we are currently classified as “well capitalized,” an extended economic recession could adversely impact our reported and regulatory capital ratios.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regulatory capital ratios, as well as those of the Bank,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Origin Bancorp, Inc.</w:t>
            </w:r>
          </w:p>
        </w:tc>
        <w:tc>
          <w:tcPr>
            <w:tcW w:w="28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2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Ratio</w:t>
            </w:r>
          </w:p>
        </w:tc>
      </w:tr>
      <w:tr>
        <w:trPr>
          <w:trHeight w:val="230"/>
        </w:trPr>
        <w:tc>
          <w:tcPr>
            <w:tcW w:w="4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equity Tier 1 capital (to risk-weighted assets)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1,203,300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13.74 %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1,139,627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13.54 %</w:t>
            </w:r>
          </w:p>
        </w:tc>
      </w:tr>
      <w:tr>
        <w:trPr>
          <w:trHeight w:val="24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1,212,674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1,155,628</w:t>
            </w:r>
          </w:p>
        </w:tc>
        <w:tc>
          <w:tcPr>
            <w:tcW w:w="100" w:type="dxa"/>
            <w:vAlign w:val="bottom"/>
          </w:tcPr>
          <w:p>
            <w:pPr>
              <w:spacing w:after="0"/>
              <w:rPr>
                <w:sz w:val="20"/>
                <w:szCs w:val="20"/>
                <w:color w:val="auto"/>
              </w:rPr>
            </w:pPr>
          </w:p>
        </w:tc>
        <w:tc>
          <w:tcPr>
            <w:tcW w:w="16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13.73</w:t>
            </w:r>
          </w:p>
        </w:tc>
      </w:tr>
      <w:tr>
        <w:trPr>
          <w:trHeight w:val="24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1,319,761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1,255,717</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14.91</w:t>
            </w:r>
          </w:p>
        </w:tc>
      </w:tr>
      <w:tr>
        <w:trPr>
          <w:trHeight w:val="24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1 capital (to average total consolidated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1,212,674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1,155,628</w:t>
            </w:r>
          </w:p>
        </w:tc>
        <w:tc>
          <w:tcPr>
            <w:tcW w:w="100" w:type="dxa"/>
            <w:vAlign w:val="bottom"/>
          </w:tcPr>
          <w:p>
            <w:pPr>
              <w:spacing w:after="0"/>
              <w:rPr>
                <w:sz w:val="20"/>
                <w:szCs w:val="20"/>
                <w:color w:val="auto"/>
              </w:rPr>
            </w:pPr>
          </w:p>
        </w:tc>
        <w:tc>
          <w:tcPr>
            <w:tcW w:w="16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11.86</w:t>
            </w:r>
          </w:p>
        </w:tc>
      </w:tr>
      <w:tr>
        <w:trPr>
          <w:trHeight w:val="273"/>
        </w:trPr>
        <w:tc>
          <w:tcPr>
            <w:tcW w:w="4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Origin Bank</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equity Tier 1 capital (to risk-weighted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1,134,963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13.06 %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12.62 %</w:t>
            </w:r>
          </w:p>
        </w:tc>
      </w:tr>
      <w:tr>
        <w:trPr>
          <w:trHeight w:val="24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1,134,963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00" w:type="dxa"/>
            <w:vAlign w:val="bottom"/>
          </w:tcPr>
          <w:p>
            <w:pPr>
              <w:spacing w:after="0"/>
              <w:rPr>
                <w:sz w:val="20"/>
                <w:szCs w:val="20"/>
                <w:color w:val="auto"/>
              </w:rPr>
            </w:pPr>
          </w:p>
        </w:tc>
        <w:tc>
          <w:tcPr>
            <w:tcW w:w="16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12.62</w:t>
            </w:r>
          </w:p>
        </w:tc>
      </w:tr>
      <w:tr>
        <w:trPr>
          <w:trHeight w:val="24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1,236,688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1,154,368</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13.82</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1 capital (to average total consolidated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1,134,963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1,054,279</w:t>
            </w:r>
          </w:p>
        </w:tc>
        <w:tc>
          <w:tcPr>
            <w:tcW w:w="100" w:type="dxa"/>
            <w:vAlign w:val="bottom"/>
          </w:tcPr>
          <w:p>
            <w:pPr>
              <w:spacing w:after="0"/>
              <w:rPr>
                <w:sz w:val="20"/>
                <w:szCs w:val="20"/>
                <w:color w:val="auto"/>
              </w:rPr>
            </w:pPr>
          </w:p>
        </w:tc>
        <w:tc>
          <w:tcPr>
            <w:tcW w:w="16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10.91</w:t>
            </w:r>
          </w:p>
        </w:tc>
      </w:tr>
    </w:tbl>
    <w:p>
      <w:pPr>
        <w:spacing w:after="0" w:line="23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July 2025, the Board of Directors of the Company authorized a share repurchase program pursuant to which the Company may, from time to time, purchase up to $50.0 million of its outstanding common stock. In July 2026, our Board of Directors approved a $100.0 million increase in repurchase authority under this share repurchase program. The shares may be repurchased in the open market or in privately negotiated transactions from time to time, depending upon market conditions and other factors, and in accordance with applicable regulations of the Securities and Exchange Commission. The share repurchase program is intended to expire in July 2028 but may be terminated or amended by the Board of Directors at any time. The share repurchase program does not obligate the Company to purchase any shares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repurchased a total of 272,927 shares of its common stock pursuant to its July 2025 share repurchase program at an average price per share of $54.21, for an aggregate purchase price of $14.8 million, including broker commissions and applicable excise taxes. Year-to-date share repurchases through September 30, 2026, totaled 655,461 shares of common stock at an average price per share of $48.42, for an aggregate purchase price of $31.7 million, including broker commissions and applicable excise taxes. There was $106.8 million remaining available for repurchase at September 30, 2026.</w:t>
      </w:r>
    </w:p>
    <w:p>
      <w:pPr>
        <w:spacing w:after="0" w:line="1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the Company repurchased a total of 265,248 shares of its common stock pursuant to its July 2025 share repurchase program at an average price per share of $35.85, for an aggregate purchase price of $9.5 million, including broker commissions and applicable excise taxes. Year-to-date 2025 share repurchases totaled 401,647 shares of common stock at an average price per share of $34.59, for an aggregate purchase price of $13.9 million, including broker commissions and applicable excise taxes.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and Market Risk</w:t>
      </w:r>
    </w:p>
    <w:p>
      <w:pPr>
        <w:spacing w:after="0" w:line="175"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As a financial institution, our primary component of market risk is interest rate volatility. Our financial management policy provides management with guidelines for effective funds management, and we have established a measurement system for monitoring the net interest rate sensitivity position.</w:t>
      </w:r>
    </w:p>
    <w:p>
      <w:pPr>
        <w:spacing w:after="0" w:line="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short-term to maturity. Interest rate risk is the potential for economic losses due to future interest rate changes. These economic losses can be reflected as a loss of future net interest income and/or a loss of current fair market values. The objective is to measure the effect on net interest income and to adjust the consolidated balance sheets to minimize the inherent risk while at the same time maximizing income.</w:t>
      </w:r>
    </w:p>
    <w:p>
      <w:pPr>
        <w:spacing w:after="0" w:line="1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manage exposure to interest rates by structuring the consolidated balance sheet in the ordinary course of business. We may utilize derivative financial instruments as part of an ongoing effort to mitigate interest rate risk exposure to interest rate fluctuations and facilitate the needs of our customers. For more information about our derivative financial instruments, see </w:t>
      </w:r>
      <w:r>
        <w:rPr>
          <w:rFonts w:ascii="Times New Roman" w:cs="Times New Roman" w:eastAsia="Times New Roman" w:hAnsi="Times New Roman"/>
          <w:sz w:val="18"/>
          <w:szCs w:val="18"/>
          <w:i w:val="1"/>
          <w:iCs w:val="1"/>
          <w:color w:val="auto"/>
        </w:rPr>
        <w:t>Note 7 — Derivative Financial Instruments</w:t>
      </w:r>
      <w:r>
        <w:rPr>
          <w:rFonts w:ascii="Times New Roman" w:cs="Times New Roman" w:eastAsia="Times New Roman" w:hAnsi="Times New Roman"/>
          <w:sz w:val="18"/>
          <w:szCs w:val="18"/>
          <w:color w:val="auto"/>
        </w:rPr>
        <w:t xml:space="preserve"> in the condensed notes to our consolidated financial statements contained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report. Based on the nature of operations, we are not subject to foreign exchange or commodity price risk.</w:t>
      </w:r>
    </w:p>
    <w:p>
      <w:pPr>
        <w:spacing w:after="0" w:line="1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is managed by the Bank’s Asset Liability Committee in accordance with policies approved by the Bank’s board of directors. The committee formulates strategies based on appropriate levels of interest rate risk. In determining the appropriate level of interest rate risk, the committee considers the impact on earnings and capital of the current outlook on interest rates and the economy, potential changes in interest rates, liquidity, business strategies and other factors.</w:t>
      </w:r>
    </w:p>
    <w:p>
      <w:pPr>
        <w:spacing w:after="0" w:line="12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committee meets regularly to review, among other things, the sensitivity of assets and liabilities to interest rate changes, the book and market values of assets and liabilities, unrealized gains and losses, purchase and sale activities and the maturities of investments and borrowings. Additionally, the committee reviews liquidity, cash flow flexibility, maturities of deposits and deposit activity. We employ various methodologies to manage interest rate risk, including an interest rate shock simulation model.</w:t>
      </w:r>
    </w:p>
    <w:p>
      <w:pPr>
        <w:spacing w:after="0" w:line="12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use interest rate risk simulation models and shock analyses to test the interest rate sensitivity of net interest income and fair value of equity, and the impact of changes in interest rates on other financial metrics. Our interest rate risk modeling incorporates a number of assumptions, including the repricing sensitivity of certain assets and liabilities, asset prepayment speeds, and the expected average life of non-maturity deposits. We have found that, historically, interest rates on deposits do not change completely in tandem with the changes in the discount and federal funds rates. Overall, interest rates on deposits typically experience a lower degree of rate change than changes in market interest rates and this assumption is incorporated into the simulation model. The assumptions used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38"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On a quarterly basis, we run various simulation models, including a static balance sheet and a dynamic growth balance sheet. These models test the impact on net interest income and fair value of equity from changes in market interest rates under various scenarios. Under the static model, rates are shocked instantaneously, and ramped rates change over a twelve-month horizon based upon parallel yield curve shifts. Parallel shock scenarios assume instantaneous parallel movements in the yield curve compared to a flat yield curve scenario. Additionally, we run a non-parallel simulation involving analysis of interest income and expense under various changes in the shape of the yield curve. Internal policy regarding interest rate risk simulations currently specifies that for instantaneous parallel shifts of the yield curve, estimated net interest income at risk for the subsequent one-year period should not change by more than 10.0% for a 100-basis point shift, 15.0% for a 200-basis point shift, 20.0% for a 300-basis point shift, and 25.0% for a 400-basis point shift. We continue to monitor our asset sensitivity and evaluate strategies to prevent being significantly impacted by future changes in interest rates.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an instantaneous, sustained simulated change in net interest income and fair value of equity over a 12-month horizon at the date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4080" w:type="dxa"/>
            <w:vAlign w:val="bottom"/>
            <w:tcBorders>
              <w:bottom w:val="single" w:sz="8" w:color="auto"/>
            </w:tcBorders>
            <w:gridSpan w:val="3"/>
          </w:tcPr>
          <w:p>
            <w:pPr>
              <w:jc w:val="right"/>
              <w:ind w:right="127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0" w:type="dxa"/>
            <w:vAlign w:val="bottom"/>
          </w:tcPr>
          <w:p>
            <w:pPr>
              <w:spacing w:after="0"/>
              <w:rPr>
                <w:sz w:val="1"/>
                <w:szCs w:val="1"/>
                <w:color w:val="auto"/>
              </w:rPr>
            </w:pPr>
          </w:p>
        </w:tc>
      </w:tr>
      <w:tr>
        <w:trPr>
          <w:trHeight w:val="172"/>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Rates (basis points)</w:t>
            </w:r>
          </w:p>
        </w:tc>
        <w:tc>
          <w:tcPr>
            <w:tcW w:w="208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6"/>
                <w:szCs w:val="16"/>
                <w:b w:val="1"/>
                <w:bCs w:val="1"/>
                <w:color w:val="auto"/>
              </w:rPr>
              <w:t>% Change in Net Interest</w:t>
            </w:r>
          </w:p>
        </w:tc>
        <w:tc>
          <w:tcPr>
            <w:tcW w:w="20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 Change in Fair Value of</w:t>
            </w:r>
          </w:p>
        </w:tc>
        <w:tc>
          <w:tcPr>
            <w:tcW w:w="0" w:type="dxa"/>
            <w:vAlign w:val="bottom"/>
          </w:tcPr>
          <w:p>
            <w:pPr>
              <w:spacing w:after="0"/>
              <w:rPr>
                <w:sz w:val="1"/>
                <w:szCs w:val="1"/>
                <w:color w:val="auto"/>
              </w:rPr>
            </w:pPr>
          </w:p>
        </w:tc>
      </w:tr>
      <w:tr>
        <w:trPr>
          <w:trHeight w:val="223"/>
        </w:trPr>
        <w:tc>
          <w:tcPr>
            <w:tcW w:w="7140" w:type="dxa"/>
            <w:vAlign w:val="bottom"/>
            <w:vMerge w:val="continue"/>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9"/>
        </w:trPr>
        <w:tc>
          <w:tcPr>
            <w:tcW w:w="71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+400</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7"/>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+300</w:t>
            </w:r>
          </w:p>
        </w:tc>
        <w:tc>
          <w:tcPr>
            <w:tcW w:w="1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9"/>
                <w:szCs w:val="19"/>
                <w:color w:val="auto"/>
              </w:rPr>
            </w:pPr>
          </w:p>
        </w:tc>
        <w:tc>
          <w:tcPr>
            <w:tcW w:w="2000" w:type="dxa"/>
            <w:vAlign w:val="bottom"/>
          </w:tcPr>
          <w:p>
            <w:pPr>
              <w:jc w:val="center"/>
              <w:ind w:left="127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+200</w:t>
            </w:r>
          </w:p>
        </w:tc>
        <w:tc>
          <w:tcPr>
            <w:tcW w:w="1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center"/>
              <w:ind w:left="127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27"/>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1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000" w:type="dxa"/>
            <w:vAlign w:val="bottom"/>
          </w:tcPr>
          <w:p>
            <w:pPr>
              <w:jc w:val="center"/>
              <w:ind w:left="1279"/>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46"/>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Base</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1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2000" w:type="dxa"/>
            <w:vAlign w:val="bottom"/>
          </w:tcPr>
          <w:p>
            <w:pPr>
              <w:jc w:val="center"/>
              <w:ind w:left="1299"/>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-200</w:t>
            </w:r>
          </w:p>
        </w:tc>
        <w:tc>
          <w:tcPr>
            <w:tcW w:w="1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center"/>
              <w:ind w:left="129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6"/>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-300</w:t>
            </w:r>
          </w:p>
        </w:tc>
        <w:tc>
          <w:tcPr>
            <w:tcW w:w="1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2000" w:type="dxa"/>
            <w:vAlign w:val="bottom"/>
          </w:tcPr>
          <w:p>
            <w:pPr>
              <w:jc w:val="center"/>
              <w:ind w:left="129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-400</w:t>
            </w:r>
          </w:p>
        </w:tc>
        <w:tc>
          <w:tcPr>
            <w:tcW w:w="1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center"/>
              <w:ind w:left="129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Federal Reserve Board sets various benchmark rates, including the federal funds rate, and thereby influences the general market rates of interest, including loan and deposit rates offered by financial institutions. The Federal Reserve Board reduced the federal funds target rate range three times, for a total of 75 basis points, during the second half of 2025, to a range of 3.50% to 3.75%. On September 16, 2026, the Federal Reserve Board raised the federal funds target rate range by 25 basis points, to a range of 3.75% to 4.00%.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7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financial statements included herein have been prepared in accordance with U.S. GAAP, which presently requires us to measure the majority of our financial position and operating results primarily in terms of historic dollars. Changes in the relative value of money due to inflation or recession are generally not considered.</w:t>
      </w:r>
    </w:p>
    <w:p>
      <w:pPr>
        <w:spacing w:after="0" w:line="12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Unlike most industrial companies, virtually all of the assets and liabilities of a financial institution are monetary in nature. As a result, interest rates have a more significant impact on a financial institution’s performance than the general level of inflation. However, inflation affects financial institutions by increasing their cost of goods and services purchased, as well as the cost of salaries and benefits, occupancy expense, and similar items. Inflation and related increases in interest rates generally decrease the market value of investments and loans held and may adversely affect liquidity, earnings, and shareholders’ equity. In management’s opinion, changes in interest rates affect the financial condition of a financial institution to a far greater degree than changes in the inflation rate. While interest rates are greatly influenced by changes in the inflation rate, they do not necessarily change at the same rate or in the same magnitude as the inflation rate. Interest rates are highly sensitive to many factors that are beyond our control, including changes in the expected rate of inflation, the influence of general and local economic conditions and the monetary and fiscal policies of the United States government, its agencies and various other governmental regulatory authorities.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SEC guidance requires disclosure of “critical accounting estimates.” The SEC defines “critical accounting estimates” as those estimates made in accordance with generally accepted accounting principles that involve a significant level of estimation uncertainty and have had or are reasonably likely to have a material impact on the financial condition or results of operations of the registrant.</w:t>
      </w:r>
    </w:p>
    <w:p>
      <w:pPr>
        <w:spacing w:after="0" w:line="12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accounting policies are fundamental to understanding our management’s discussion and analysis of our results of operations and financial condition. We have identified certain significant accounting policies which involve a higher degree of judgment and complexity in making certain estimates and assumptions that affect amounts reported in our consolidated financial statements. Please see </w:t>
      </w:r>
      <w:r>
        <w:rPr>
          <w:rFonts w:ascii="Times New Roman" w:cs="Times New Roman" w:eastAsia="Times New Roman" w:hAnsi="Times New Roman"/>
          <w:sz w:val="18"/>
          <w:szCs w:val="18"/>
          <w:i w:val="1"/>
          <w:iCs w:val="1"/>
          <w:color w:val="auto"/>
        </w:rPr>
        <w:t>Note 1 — Significant Accounting Policies</w:t>
      </w:r>
      <w:r>
        <w:rPr>
          <w:rFonts w:ascii="Times New Roman" w:cs="Times New Roman" w:eastAsia="Times New Roman" w:hAnsi="Times New Roman"/>
          <w:sz w:val="18"/>
          <w:szCs w:val="18"/>
          <w:color w:val="auto"/>
        </w:rPr>
        <w:t xml:space="preserve"> in the notes to our consolidated financial statements included in the Company's 2025 Form 10-K filed with the SEC for more information about our critical accounting policies and use of estimates.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 As of the end of the period covered by this report, we carried out an evaluation,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our design and operation of our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(as defined in Rules 13a-15(e) and 15d-15(e) under the Exchange Act) were effective as of the end of the period covered by this report.</w:t>
      </w:r>
    </w:p>
    <w:p>
      <w:pPr>
        <w:spacing w:after="0" w:line="129" w:lineRule="exact"/>
        <w:rPr>
          <w:sz w:val="20"/>
          <w:szCs w:val="20"/>
          <w:color w:val="auto"/>
        </w:rPr>
      </w:pPr>
    </w:p>
    <w:p>
      <w:pPr>
        <w:jc w:val="both"/>
        <w:ind w:right="6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Our management, including the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no change in our internal control over financial reporting that occurred during the three month period ended September 30, 2026, that has materially affected, or is reasonably likely to materially affect, our internal controls over financial reporting.</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any system of disclosure controls and procedures or internal control over financial reporting may not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3"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 — Commitments and Contingencies - Loss Contingencies</w:t>
      </w:r>
      <w:r>
        <w:rPr>
          <w:rFonts w:ascii="Times New Roman" w:cs="Times New Roman" w:eastAsia="Times New Roman" w:hAnsi="Times New Roman"/>
          <w:sz w:val="18"/>
          <w:szCs w:val="18"/>
          <w:color w:val="auto"/>
        </w:rPr>
        <w:t xml:space="preserve"> in the condensed notes to consolidated financial statements included in </w:t>
      </w:r>
      <w:r>
        <w:rPr>
          <w:rFonts w:ascii="Times New Roman" w:cs="Times New Roman" w:eastAsia="Times New Roman" w:hAnsi="Times New Roman"/>
          <w:sz w:val="18"/>
          <w:szCs w:val="18"/>
          <w:i w:val="1"/>
          <w:iCs w:val="1"/>
          <w:color w:val="auto"/>
        </w:rPr>
        <w:t xml:space="preserve">Part I, Item 1 </w:t>
      </w:r>
      <w:r>
        <w:rPr>
          <w:rFonts w:ascii="Times New Roman" w:cs="Times New Roman" w:eastAsia="Times New Roman" w:hAnsi="Times New Roman"/>
          <w:sz w:val="18"/>
          <w:szCs w:val="18"/>
          <w:color w:val="auto"/>
        </w:rPr>
        <w:t>of this report for additional information regarding legal proceedings not reportable under this Item.</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material changes during the period covered by this Report to the risk factors previously disclosed in our 2025 Form 10-K.</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175" w:lineRule="exact"/>
        <w:rPr>
          <w:sz w:val="20"/>
          <w:szCs w:val="20"/>
          <w:color w:val="auto"/>
        </w:rPr>
      </w:pPr>
    </w:p>
    <w:p>
      <w:pPr>
        <w:ind w:left="1040" w:hanging="384"/>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660" w:right="40" w:hanging="4"/>
        <w:spacing w:after="0" w:line="256"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Board of Directors of the Company authorized a share repurchase program pursuant to which the Company may, from time to time, purchase up to $50 million of its outstanding common stock. In July 2026, our Board of Directors approved a $100.0 million increase in repurchase authority under our share repurchase program. The shares may be repurchased in the open market or in privately negotiated transactions from time to time, depending upon market conditions and other factors, and in accordance with applicable regulations of the SEC. The share repurchase program is intended to expire in July 2028 but may be terminated or amended by the Board of Directors at any time. The share repurchase program does not obligate the Company to purchase any shares at any time.</w:t>
      </w:r>
    </w:p>
    <w:p>
      <w:pPr>
        <w:spacing w:after="0" w:line="13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There were a total of 272,927 shares repurchased during the quarter ended September 30, 2026.</w:t>
      </w:r>
    </w:p>
    <w:p>
      <w:pPr>
        <w:sectPr>
          <w:pgSz w:w="11900" w:h="16838" w:orient="portrait"/>
          <w:cols w:equalWidth="0" w:num="1">
            <w:col w:w="11200"/>
          </w:cols>
          <w:pgMar w:left="320" w:top="12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(Dollars in thousands, except per share amounts)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88" w:lineRule="exact"/>
        <w:rPr>
          <w:sz w:val="20"/>
          <w:szCs w:val="20"/>
          <w:color w:val="auto"/>
        </w:rPr>
      </w:pPr>
    </w:p>
    <w:p>
      <w:pPr>
        <w:ind w:left="20" w:right="960"/>
        <w:spacing w:after="0" w:line="316" w:lineRule="auto"/>
        <w:rPr>
          <w:sz w:val="20"/>
          <w:szCs w:val="20"/>
          <w:color w:val="auto"/>
        </w:rPr>
      </w:pPr>
      <w:r>
        <w:rPr>
          <w:rFonts w:ascii="Times New Roman" w:cs="Times New Roman" w:eastAsia="Times New Roman" w:hAnsi="Times New Roman"/>
          <w:sz w:val="16"/>
          <w:szCs w:val="16"/>
          <w:color w:val="auto"/>
        </w:rPr>
        <w:t>July 1, 2026 - July 31, 2026 August 1, 2026 - August 31, 2026 September 1, 2026 - September 30, 2026</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broker commissions and applicable excise taxes.</w:t>
      </w:r>
    </w:p>
    <w:p>
      <w:pPr>
        <w:spacing w:after="0" w:line="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4"/>
                <w:szCs w:val="14"/>
                <w:color w:val="auto"/>
              </w:rPr>
            </w:pPr>
          </w:p>
        </w:tc>
        <w:tc>
          <w:tcPr>
            <w:tcW w:w="1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7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 at the</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line="216" w:lineRule="exact"/>
              <w:rPr>
                <w:sz w:val="20"/>
                <w:szCs w:val="20"/>
                <w:color w:val="auto"/>
              </w:rPr>
            </w:pPr>
            <w:r>
              <w:rPr>
                <w:rFonts w:ascii="Times New Roman" w:cs="Times New Roman" w:eastAsia="Times New Roman" w:hAnsi="Times New Roman"/>
                <w:sz w:val="16"/>
                <w:szCs w:val="16"/>
                <w:b w:val="1"/>
                <w:bCs w:val="1"/>
                <w:color w:val="auto"/>
              </w:rPr>
              <w:t>Share</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End of the Period</w:t>
            </w:r>
          </w:p>
        </w:tc>
        <w:tc>
          <w:tcPr>
            <w:tcW w:w="0" w:type="dxa"/>
            <w:vAlign w:val="bottom"/>
          </w:tcPr>
          <w:p>
            <w:pPr>
              <w:spacing w:after="0"/>
              <w:rPr>
                <w:sz w:val="1"/>
                <w:szCs w:val="1"/>
                <w:color w:val="auto"/>
              </w:rPr>
            </w:pPr>
          </w:p>
        </w:tc>
      </w:tr>
      <w:tr>
        <w:trPr>
          <w:trHeight w:val="217"/>
        </w:trPr>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16,330</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120,727</w:t>
            </w:r>
          </w:p>
        </w:tc>
        <w:tc>
          <w:tcPr>
            <w:tcW w:w="0" w:type="dxa"/>
            <w:vAlign w:val="bottom"/>
          </w:tcPr>
          <w:p>
            <w:pPr>
              <w:spacing w:after="0"/>
              <w:rPr>
                <w:sz w:val="1"/>
                <w:szCs w:val="1"/>
                <w:color w:val="auto"/>
              </w:rPr>
            </w:pPr>
          </w:p>
        </w:tc>
      </w:tr>
      <w:tr>
        <w:trPr>
          <w:trHeight w:val="230"/>
        </w:trPr>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113,580</w:t>
            </w:r>
          </w:p>
        </w:tc>
        <w:tc>
          <w:tcPr>
            <w:tcW w:w="0" w:type="dxa"/>
            <w:vAlign w:val="bottom"/>
          </w:tcPr>
          <w:p>
            <w:pPr>
              <w:spacing w:after="0"/>
              <w:rPr>
                <w:sz w:val="1"/>
                <w:szCs w:val="1"/>
                <w:color w:val="auto"/>
              </w:rPr>
            </w:pPr>
          </w:p>
        </w:tc>
      </w:tr>
      <w:tr>
        <w:trPr>
          <w:trHeight w:val="23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106,837</w:t>
            </w:r>
          </w:p>
        </w:tc>
        <w:tc>
          <w:tcPr>
            <w:tcW w:w="0" w:type="dxa"/>
            <w:vAlign w:val="bottom"/>
          </w:tcPr>
          <w:p>
            <w:pPr>
              <w:spacing w:after="0"/>
              <w:rPr>
                <w:sz w:val="1"/>
                <w:szCs w:val="1"/>
                <w:color w:val="auto"/>
              </w:rPr>
            </w:pPr>
          </w:p>
        </w:tc>
      </w:tr>
      <w:tr>
        <w:trPr>
          <w:trHeight w:val="226"/>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106,837</w:t>
            </w:r>
          </w:p>
        </w:tc>
        <w:tc>
          <w:tcPr>
            <w:tcW w:w="0" w:type="dxa"/>
            <w:vAlign w:val="bottom"/>
          </w:tcPr>
          <w:p>
            <w:pPr>
              <w:spacing w:after="0"/>
              <w:rPr>
                <w:sz w:val="1"/>
                <w:szCs w:val="1"/>
                <w:color w:val="auto"/>
              </w:rPr>
            </w:pP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-633730</wp:posOffset>
            </wp:positionV>
            <wp:extent cx="708914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914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-333375</wp:posOffset>
            </wp:positionV>
            <wp:extent cx="708914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926" w:lineRule="exact"/>
        <w:rPr>
          <w:sz w:val="20"/>
          <w:szCs w:val="20"/>
          <w:color w:val="auto"/>
        </w:rPr>
      </w:pPr>
    </w:p>
    <w:p>
      <w:pPr>
        <w:sectPr>
          <w:pgSz w:w="11900" w:h="16838" w:orient="portrait"/>
          <w:cols w:equalWidth="0" w:num="2">
            <w:col w:w="3640" w:space="480"/>
            <w:col w:w="7080"/>
          </w:cols>
          <w:pgMar w:left="320" w:top="124" w:right="3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62" w:lineRule="exact"/>
        <w:rPr>
          <w:sz w:val="20"/>
          <w:szCs w:val="20"/>
          <w:color w:val="auto"/>
        </w:rPr>
      </w:pPr>
    </w:p>
    <w:p>
      <w:pPr>
        <w:ind w:left="1040" w:hanging="384"/>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660" w:hanging="4"/>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408(a) of Regulation S-K, none of our directors or executive officers adopted, terminated or modified a Rule 10b5-1 trading arrangement or a non-Rule 10b5-1 trading arrangement during the three months ended September 30, 2026.</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4"/>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vMerge w:val="restart"/>
          </w:tcPr>
          <w:p>
            <w:pPr>
              <w:ind w:left="46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00" w:type="dxa"/>
            <w:vAlign w:val="bottom"/>
            <w:tcBorders>
              <w:bottom w:val="single" w:sz="8" w:color="auto"/>
            </w:tcBorders>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2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Amended and Restated Articles of Incorporation, incorporated by reference to Exhibit 3.1 to the Company’s Form 8-K filed April 28, 2020</w:t>
              </w:r>
            </w:hyperlink>
          </w:p>
        </w:tc>
        <w:tc>
          <w:tcPr>
            <w:tcW w:w="108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Amended and Restated Bylaws, incorporated by reference to Exhibit 3.2 to the Company’s Form 8-K filed April 28,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Specimen common stock certificate, incorporated by reference to Exhibit 4.1 to the Company’s Registration Statement on Form S-1 filed April 10, 2018</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Instruments defining the rights of holders of long-term debt of the Company and its subsidiaries are not filed as Exhibits because the amount of debt under</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each instrument is less than 10% of the consolidated assets of the Company. The Company undertakes to file these instruments with the SEC upon request</w:t>
            </w:r>
          </w:p>
        </w:tc>
        <w:tc>
          <w:tcPr>
            <w:tcW w:w="0" w:type="dxa"/>
            <w:vAlign w:val="bottom"/>
          </w:tcPr>
          <w:p>
            <w:pPr>
              <w:spacing w:after="0"/>
              <w:rPr>
                <w:sz w:val="1"/>
                <w:szCs w:val="1"/>
                <w:color w:val="auto"/>
              </w:rPr>
            </w:pPr>
          </w:p>
        </w:tc>
      </w:tr>
      <w:tr>
        <w:trPr>
          <w:trHeight w:val="289"/>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by Chief Executive Officer pursuant to Rule 13a-14(a) and Rule 15d-14(a)</w:t>
            </w:r>
          </w:p>
        </w:tc>
        <w:tc>
          <w:tcPr>
            <w:tcW w:w="0" w:type="dxa"/>
            <w:vAlign w:val="bottom"/>
          </w:tcPr>
          <w:p>
            <w:pPr>
              <w:spacing w:after="0"/>
              <w:rPr>
                <w:sz w:val="1"/>
                <w:szCs w:val="1"/>
                <w:color w:val="auto"/>
              </w:rPr>
            </w:pPr>
          </w:p>
        </w:tc>
      </w:tr>
      <w:tr>
        <w:trPr>
          <w:trHeight w:val="304"/>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Certification by Chief Financial Officer pursuant to Rule 13a-14(a) and Rule 15d-14(a)</w:t>
            </w:r>
          </w:p>
        </w:tc>
        <w:tc>
          <w:tcPr>
            <w:tcW w:w="4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40" w:type="dxa"/>
            <w:vAlign w:val="bottom"/>
            <w:shd w:val="clear" w:color="auto" w:fill="0000FF"/>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by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04"/>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Certification by Chief Financial Officer pursuant to 18 U.S.C. Section 1350, as Adopted Pursuant to Section 906 of the Sarbanes-Oxley Act of 2002</w:t>
            </w:r>
          </w:p>
        </w:tc>
        <w:tc>
          <w:tcPr>
            <w:tcW w:w="4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140" w:right="160" w:hanging="1114"/>
        <w:spacing w:after="0" w:line="227" w:lineRule="auto"/>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information from Origin Bancorp, Inc. Quarterly Report on Form 10-Q for the quarter ended September 30, 2026, is formatted in Inline XBRL: (i) the Unaudited Consolidated Balance Sheets, (ii) the Unaudited Consolidated Statements of Income, (iii) the Unaudited Consolidated Statements of Comprehensive Income, (iv) the Unaudited Consolidated Statements of Changes in Shareholders' Equity, (v) the Unaudited Consolidated Statements of Cash Flows, and (vi) the Condensed Notes to Unaudited Consolidated Financial Statements</w:t>
      </w:r>
    </w:p>
    <w:p>
      <w:pPr>
        <w:spacing w:after="0" w:line="114" w:lineRule="exact"/>
        <w:rPr>
          <w:sz w:val="20"/>
          <w:szCs w:val="20"/>
          <w:color w:val="auto"/>
        </w:rPr>
      </w:pPr>
    </w:p>
    <w:p>
      <w:pPr>
        <w:ind w:left="1140" w:hanging="1114"/>
        <w:spacing w:after="0"/>
        <w:tabs>
          <w:tab w:leader="none" w:pos="11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37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20" w:lineRule="exact"/>
        <w:rPr>
          <w:sz w:val="20"/>
          <w:szCs w:val="20"/>
          <w:color w:val="auto"/>
        </w:rPr>
      </w:pPr>
    </w:p>
    <w:p>
      <w:pPr>
        <w:ind w:left="1380"/>
        <w:spacing w:after="0"/>
        <w:tabs>
          <w:tab w:leader="none" w:pos="2360" w:val="left"/>
          <w:tab w:leader="none" w:pos="5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Drake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19685</wp:posOffset>
            </wp:positionV>
            <wp:extent cx="36175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3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Drake Mills</w:t>
      </w:r>
    </w:p>
    <w:p>
      <w:pPr>
        <w:spacing w:after="0" w:line="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02" w:lineRule="exact"/>
        <w:rPr>
          <w:sz w:val="20"/>
          <w:szCs w:val="20"/>
          <w:color w:val="auto"/>
        </w:rPr>
      </w:pPr>
    </w:p>
    <w:p>
      <w:pPr>
        <w:ind w:left="1380"/>
        <w:spacing w:after="0"/>
        <w:tabs>
          <w:tab w:leader="none" w:pos="2360" w:val="left"/>
          <w:tab w:leader="none" w:pos="5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William J. Wallace,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19685</wp:posOffset>
            </wp:positionV>
            <wp:extent cx="36175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3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William J. Wallace, IV</w:t>
      </w:r>
    </w:p>
    <w:p>
      <w:pPr>
        <w:spacing w:after="0" w:line="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Senior Executive Officer and Chief Financial Officer</w:t>
      </w:r>
    </w:p>
    <w:p>
      <w:pPr>
        <w:spacing w:after="0" w:line="200" w:lineRule="exact"/>
        <w:rPr>
          <w:sz w:val="20"/>
          <w:szCs w:val="20"/>
          <w:color w:val="auto"/>
        </w:rPr>
      </w:pPr>
    </w:p>
    <w:p>
      <w:pPr>
        <w:spacing w:after="0" w:line="3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540"/>
          </w:cols>
          <w:pgMar w:left="320" w:top="124" w:right="10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Drake Mills, certify that:</w:t>
      </w:r>
    </w:p>
    <w:p>
      <w:pPr>
        <w:spacing w:after="0" w:line="171"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Origin Bancorp,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140" w:right="120" w:hanging="484"/>
        <w:spacing w:after="0" w:line="266" w:lineRule="auto"/>
        <w:tabs>
          <w:tab w:leader="none" w:pos="11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right="380" w:hanging="484"/>
        <w:spacing w:after="0" w:line="312" w:lineRule="auto"/>
        <w:tabs>
          <w:tab w:leader="none" w:pos="113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680" w:hanging="484"/>
        <w:spacing w:after="0" w:line="282" w:lineRule="auto"/>
        <w:tabs>
          <w:tab w:leader="none" w:pos="11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360" w:hanging="484"/>
        <w:spacing w:after="0" w:line="282" w:lineRule="auto"/>
        <w:tabs>
          <w:tab w:leader="none" w:pos="11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Drake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Drake Mills</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117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Wallace, IV, certify that:</w:t>
      </w:r>
    </w:p>
    <w:p>
      <w:pPr>
        <w:spacing w:after="0" w:line="171"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Origin Bancorp,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140" w:right="280" w:hanging="484"/>
        <w:spacing w:after="0" w:line="266" w:lineRule="auto"/>
        <w:tabs>
          <w:tab w:leader="none" w:pos="11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RJB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right="380" w:hanging="484"/>
        <w:spacing w:after="0" w:line="312" w:lineRule="auto"/>
        <w:tabs>
          <w:tab w:leader="none" w:pos="113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680" w:hanging="484"/>
        <w:spacing w:after="0" w:line="282" w:lineRule="auto"/>
        <w:tabs>
          <w:tab w:leader="none" w:pos="11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360" w:hanging="484"/>
        <w:spacing w:after="0" w:line="282" w:lineRule="auto"/>
        <w:tabs>
          <w:tab w:leader="none" w:pos="11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William J. Wallace,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William J. Wallace, IV</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Executive Officer and Chief Financial Officer</w:t>
      </w:r>
    </w:p>
    <w:p>
      <w:pPr>
        <w:sectPr>
          <w:pgSz w:w="11900" w:h="16838" w:orient="portrait"/>
          <w:cols w:equalWidth="0" w:num="1">
            <w:col w:w="11240"/>
          </w:cols>
          <w:pgMar w:left="320" w:top="117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FURNISHED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153"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Origin Bancorp, Inc. (the “Company”), for the quarter ended September 30, 2026, as filed with the Securities and Exchange Commission on the date hereof (the “Report”), I, Drake Mills, Chairman, President and Chief Executive Officer of the Company, certify, pursuant to 18 U.S.C. Section 1350, as adopted pursuant to Section 906 of the Sarbanes-Oxley Act of 2002, that, to my knowledge:</w:t>
      </w:r>
    </w:p>
    <w:p>
      <w:pPr>
        <w:spacing w:after="0" w:line="104"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financial statements included in such Report.</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Drake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Drake Mills</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117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FURNISHED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15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Origin Bancorp, Inc. (the “Company”), for the quarter ended September 30, 2026, as filed with the Securities and Exchange Commission on the date hereof (the “Report”), I, William J. Wallace, IV, Senior Executive Officer and Chief Financial Officer of the Company, certify, pursuant to 18 U.S.C. Section 1350, as adopted pursuant to Section 906 of the Sarbanes-Oxley Act of 2002, that, to my knowledge:</w:t>
      </w:r>
    </w:p>
    <w:p>
      <w:pPr>
        <w:spacing w:after="0" w:line="126"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financial statements included in such Report.</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William J. Wallace,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William J. Wallace, IV</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Executive Officer and Chief Financial Officer</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4"/>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3"/>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01"/>
    </w:lvl>
  </w:abstractNum>
  <w:abstractNum w:abstractNumId="38">
    <w:nsid w:val="153EA438"/>
    <w:multiLevelType w:val="hybridMultilevel"/>
    <w:lvl w:ilvl="0">
      <w:lvlJc w:val="left"/>
      <w:lvlText w:val="%1"/>
      <w:numFmt w:val="decimal"/>
      <w:start w:val="104"/>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02" Type="http://schemas.openxmlformats.org/officeDocument/2006/relationships/hyperlink" Target="https://www.sec.gov/Archives/edgar/data/1516912/000151691220000041/ex312020articlesofinco.htm" TargetMode="External"/><Relationship Id="rId103" Type="http://schemas.openxmlformats.org/officeDocument/2006/relationships/hyperlink" Target="https://www.sec.gov/Archives/edgar/data/1516912/000151691220000041/ex322020bylaws03302020.htm" TargetMode="External"/><Relationship Id="rId104" Type="http://schemas.openxmlformats.org/officeDocument/2006/relationships/hyperlink" Target="https://www.sec.gov/Archives/edgar/data/1516912/000162828018004147/obnkexhibit41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2026-11-06T13:43:58Z</dcterms:created>
  <dcterms:modified xsi:type="dcterms:W3CDTF">2026-11-06T13:43:58Z</dcterms:modified>
</cp:coreProperties>
</file>